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D8333" w14:textId="77777777" w:rsidR="0092369A" w:rsidRPr="008D3C8D" w:rsidRDefault="000F52BD" w:rsidP="001C6F89">
      <w:pPr>
        <w:ind w:right="382"/>
        <w:jc w:val="both"/>
        <w:rPr>
          <w:rFonts w:ascii="Eras Demi ITC" w:eastAsia="Century Gothic" w:hAnsi="Eras Demi ITC" w:cs="Century Gothic"/>
          <w:b/>
          <w:color w:val="5F497A" w:themeColor="accent4" w:themeShade="BF"/>
          <w:sz w:val="40"/>
          <w:szCs w:val="40"/>
        </w:rPr>
      </w:pPr>
      <w:proofErr w:type="spellStart"/>
      <w:r w:rsidRPr="008D3C8D">
        <w:rPr>
          <w:rFonts w:ascii="Eras Demi ITC" w:eastAsia="Century Gothic" w:hAnsi="Eras Demi ITC" w:cs="Century Gothic"/>
          <w:b/>
          <w:color w:val="5F497A" w:themeColor="accent4" w:themeShade="BF"/>
          <w:sz w:val="40"/>
          <w:szCs w:val="40"/>
        </w:rPr>
        <w:t>Loxoscelismo</w:t>
      </w:r>
      <w:proofErr w:type="spellEnd"/>
      <w:r w:rsidRPr="008D3C8D">
        <w:rPr>
          <w:rFonts w:ascii="Eras Demi ITC" w:eastAsia="Century Gothic" w:hAnsi="Eras Demi ITC" w:cs="Century Gothic"/>
          <w:b/>
          <w:color w:val="5F497A" w:themeColor="accent4" w:themeShade="BF"/>
          <w:sz w:val="40"/>
          <w:szCs w:val="40"/>
        </w:rPr>
        <w:t>.</w:t>
      </w:r>
      <w:r w:rsidR="001C6F89" w:rsidRPr="001C6F89">
        <w:rPr>
          <w:rFonts w:ascii="Verdana" w:hAnsi="Verdana"/>
          <w:b/>
          <w:bCs/>
          <w:color w:val="000000"/>
          <w:sz w:val="28"/>
          <w:szCs w:val="28"/>
          <w:shd w:val="clear" w:color="auto" w:fill="FFFFFF"/>
        </w:rPr>
        <w:t xml:space="preserve"> </w:t>
      </w:r>
      <w:r w:rsidRPr="008D3C8D">
        <w:rPr>
          <w:rFonts w:ascii="Eras Demi ITC" w:eastAsia="Century Gothic" w:hAnsi="Eras Demi ITC" w:cs="Century Gothic"/>
          <w:b/>
          <w:color w:val="5F497A" w:themeColor="accent4" w:themeShade="BF"/>
          <w:sz w:val="40"/>
          <w:szCs w:val="40"/>
        </w:rPr>
        <w:t xml:space="preserve"> </w:t>
      </w:r>
      <w:r w:rsidR="001C6F89">
        <w:rPr>
          <w:rFonts w:ascii="Eras Demi ITC" w:eastAsia="Century Gothic" w:hAnsi="Eras Demi ITC" w:cs="Century Gothic"/>
          <w:b/>
          <w:color w:val="5F497A" w:themeColor="accent4" w:themeShade="BF"/>
          <w:sz w:val="40"/>
          <w:szCs w:val="40"/>
        </w:rPr>
        <w:t xml:space="preserve">Informe </w:t>
      </w:r>
      <w:r w:rsidRPr="008D3C8D">
        <w:rPr>
          <w:rFonts w:ascii="Eras Demi ITC" w:eastAsia="Century Gothic" w:hAnsi="Eras Demi ITC" w:cs="Century Gothic"/>
          <w:b/>
          <w:color w:val="5F497A" w:themeColor="accent4" w:themeShade="BF"/>
          <w:sz w:val="40"/>
          <w:szCs w:val="40"/>
        </w:rPr>
        <w:t>de un caso clínico y revisión bibliográfica</w:t>
      </w:r>
      <w:r w:rsidR="0092369A" w:rsidRPr="008D3C8D">
        <w:rPr>
          <w:rFonts w:ascii="Eras Demi ITC" w:eastAsia="Century Gothic" w:hAnsi="Eras Demi ITC" w:cs="Century Gothic"/>
          <w:b/>
          <w:color w:val="5F497A" w:themeColor="accent4" w:themeShade="BF"/>
          <w:sz w:val="40"/>
          <w:szCs w:val="40"/>
        </w:rPr>
        <w:t xml:space="preserve"> </w:t>
      </w:r>
    </w:p>
    <w:p w14:paraId="0B2F2CBF" w14:textId="77777777" w:rsidR="009C09C7" w:rsidRPr="009A1568" w:rsidRDefault="0092369A" w:rsidP="001C6F89">
      <w:pPr>
        <w:ind w:right="382"/>
        <w:jc w:val="both"/>
        <w:rPr>
          <w:rFonts w:ascii="Century Gothic" w:eastAsia="Century Gothic" w:hAnsi="Century Gothic" w:cs="Century Gothic"/>
          <w:b/>
          <w:sz w:val="32"/>
          <w:szCs w:val="32"/>
          <w:lang w:val="en-US"/>
        </w:rPr>
      </w:pPr>
      <w:r w:rsidRPr="009A1568">
        <w:rPr>
          <w:rFonts w:ascii="Century Gothic" w:eastAsia="Century Gothic" w:hAnsi="Century Gothic" w:cs="Century Gothic"/>
          <w:b/>
          <w:sz w:val="32"/>
          <w:szCs w:val="32"/>
          <w:lang w:val="en-US"/>
        </w:rPr>
        <w:t xml:space="preserve">Loxoscelism. </w:t>
      </w:r>
      <w:r w:rsidR="001C6F89" w:rsidRPr="009A1568">
        <w:rPr>
          <w:rFonts w:ascii="Century Gothic" w:eastAsia="Century Gothic" w:hAnsi="Century Gothic" w:cs="Century Gothic"/>
          <w:b/>
          <w:sz w:val="32"/>
          <w:szCs w:val="32"/>
          <w:lang w:val="en-US"/>
        </w:rPr>
        <w:t xml:space="preserve">Report </w:t>
      </w:r>
      <w:r w:rsidRPr="009A1568">
        <w:rPr>
          <w:rFonts w:ascii="Century Gothic" w:eastAsia="Century Gothic" w:hAnsi="Century Gothic" w:cs="Century Gothic"/>
          <w:b/>
          <w:sz w:val="32"/>
          <w:szCs w:val="32"/>
          <w:lang w:val="en-US"/>
        </w:rPr>
        <w:t>of a clinical case and bibliographic review</w:t>
      </w:r>
    </w:p>
    <w:p w14:paraId="08222CCE" w14:textId="77777777" w:rsidR="009A1568" w:rsidRDefault="009A1568" w:rsidP="009A1568">
      <w:pPr>
        <w:ind w:right="382"/>
        <w:jc w:val="both"/>
        <w:rPr>
          <w:rFonts w:ascii="Century Gothic" w:eastAsia="Century Gothic" w:hAnsi="Century Gothic" w:cs="Century Gothic"/>
          <w:b/>
          <w:sz w:val="28"/>
          <w:szCs w:val="28"/>
        </w:rPr>
      </w:pPr>
      <w:proofErr w:type="spellStart"/>
      <w:r>
        <w:rPr>
          <w:rFonts w:ascii="Century Gothic" w:eastAsia="Century Gothic" w:hAnsi="Century Gothic" w:cs="Century Gothic"/>
          <w:b/>
          <w:sz w:val="28"/>
          <w:szCs w:val="28"/>
        </w:rPr>
        <w:t>Sihuin</w:t>
      </w:r>
      <w:proofErr w:type="spellEnd"/>
      <w:r>
        <w:rPr>
          <w:rFonts w:ascii="Century Gothic" w:eastAsia="Century Gothic" w:hAnsi="Century Gothic" w:cs="Century Gothic"/>
          <w:b/>
          <w:sz w:val="28"/>
          <w:szCs w:val="28"/>
        </w:rPr>
        <w:t xml:space="preserve"> </w:t>
      </w:r>
      <w:proofErr w:type="spellStart"/>
      <w:r>
        <w:rPr>
          <w:rFonts w:ascii="Century Gothic" w:eastAsia="Century Gothic" w:hAnsi="Century Gothic" w:cs="Century Gothic"/>
          <w:b/>
          <w:sz w:val="28"/>
          <w:szCs w:val="28"/>
        </w:rPr>
        <w:t>Cardenas</w:t>
      </w:r>
      <w:proofErr w:type="spellEnd"/>
      <w:r>
        <w:rPr>
          <w:rFonts w:ascii="Century Gothic" w:eastAsia="Century Gothic" w:hAnsi="Century Gothic" w:cs="Century Gothic"/>
          <w:b/>
          <w:sz w:val="28"/>
          <w:szCs w:val="28"/>
        </w:rPr>
        <w:t xml:space="preserve"> Dalia </w:t>
      </w:r>
    </w:p>
    <w:p w14:paraId="2BD4608C" w14:textId="77777777" w:rsidR="0092369A" w:rsidRDefault="0092369A" w:rsidP="001C6F89">
      <w:pPr>
        <w:ind w:right="382"/>
        <w:jc w:val="both"/>
        <w:rPr>
          <w:rFonts w:ascii="Century Gothic" w:eastAsia="Century Gothic" w:hAnsi="Century Gothic" w:cs="Century Gothic"/>
          <w:b/>
          <w:sz w:val="28"/>
          <w:szCs w:val="28"/>
        </w:rPr>
      </w:pPr>
    </w:p>
    <w:p w14:paraId="4E8C3F97" w14:textId="77777777" w:rsidR="0092369A" w:rsidRPr="008D3C8D" w:rsidRDefault="009A1568" w:rsidP="001C6F89">
      <w:pPr>
        <w:ind w:right="382"/>
        <w:jc w:val="both"/>
        <w:rPr>
          <w:rFonts w:ascii="Century Gothic" w:eastAsia="Century Gothic" w:hAnsi="Century Gothic" w:cs="Century Gothic"/>
          <w:b/>
          <w:color w:val="5F497A" w:themeColor="accent4" w:themeShade="BF"/>
          <w:sz w:val="28"/>
          <w:szCs w:val="28"/>
        </w:rPr>
      </w:pPr>
      <w:hyperlink r:id="rId8" w:history="1">
        <w:r w:rsidR="0092369A" w:rsidRPr="008D3C8D">
          <w:rPr>
            <w:rStyle w:val="Hipervnculo"/>
            <w:rFonts w:ascii="Century Gothic" w:eastAsia="Century Gothic" w:hAnsi="Century Gothic" w:cs="Century Gothic"/>
            <w:b/>
            <w:color w:val="5F497A" w:themeColor="accent4" w:themeShade="BF"/>
            <w:sz w:val="28"/>
            <w:szCs w:val="28"/>
          </w:rPr>
          <w:t>https://orcid.org/0009-0001-8076-4080</w:t>
        </w:r>
      </w:hyperlink>
    </w:p>
    <w:p w14:paraId="75705DC4" w14:textId="77777777" w:rsidR="0092369A" w:rsidRPr="0092369A" w:rsidRDefault="0092369A" w:rsidP="001C6F89">
      <w:pPr>
        <w:ind w:right="382"/>
        <w:jc w:val="both"/>
        <w:rPr>
          <w:rFonts w:ascii="Century Gothic" w:eastAsia="Century Gothic" w:hAnsi="Century Gothic" w:cs="Century Gothic"/>
          <w:b/>
          <w:sz w:val="28"/>
          <w:szCs w:val="28"/>
        </w:rPr>
      </w:pPr>
    </w:p>
    <w:p w14:paraId="72CA2734" w14:textId="77777777" w:rsidR="009C09C7" w:rsidRPr="008D3C8D" w:rsidRDefault="000F52BD" w:rsidP="001C6F89">
      <w:pPr>
        <w:pBdr>
          <w:top w:val="nil"/>
          <w:left w:val="nil"/>
          <w:bottom w:val="nil"/>
          <w:right w:val="nil"/>
          <w:between w:val="nil"/>
        </w:pBdr>
        <w:spacing w:before="240" w:after="240"/>
        <w:ind w:right="382"/>
        <w:jc w:val="both"/>
        <w:rPr>
          <w:rFonts w:ascii="Century Gothic" w:eastAsia="Century Gothic" w:hAnsi="Century Gothic" w:cs="Century Gothic"/>
          <w:b/>
          <w:color w:val="000000" w:themeColor="text1"/>
          <w:sz w:val="28"/>
          <w:szCs w:val="28"/>
        </w:rPr>
      </w:pPr>
      <w:r w:rsidRPr="008D3C8D">
        <w:rPr>
          <w:rFonts w:ascii="Century Gothic" w:eastAsia="Century Gothic" w:hAnsi="Century Gothic" w:cs="Century Gothic"/>
          <w:b/>
          <w:color w:val="000000" w:themeColor="text1"/>
          <w:sz w:val="28"/>
          <w:szCs w:val="28"/>
        </w:rPr>
        <w:t xml:space="preserve">RESUMEN </w:t>
      </w:r>
    </w:p>
    <w:p w14:paraId="504EF199" w14:textId="77777777" w:rsidR="009C09C7" w:rsidRPr="008D3C8D" w:rsidRDefault="000F52BD" w:rsidP="001C6F89">
      <w:pPr>
        <w:pBdr>
          <w:top w:val="nil"/>
          <w:left w:val="nil"/>
          <w:bottom w:val="nil"/>
          <w:right w:val="nil"/>
          <w:between w:val="nil"/>
        </w:pBdr>
        <w:spacing w:before="240" w:after="240"/>
        <w:ind w:right="382"/>
        <w:jc w:val="both"/>
        <w:rPr>
          <w:rFonts w:ascii="Century Gothic" w:eastAsia="Century Gothic" w:hAnsi="Century Gothic" w:cs="Century Gothic"/>
          <w:bCs/>
          <w:color w:val="595959" w:themeColor="text1" w:themeTint="A6"/>
          <w:sz w:val="24"/>
          <w:szCs w:val="24"/>
        </w:rPr>
      </w:pPr>
      <w:r w:rsidRPr="008D3C8D">
        <w:rPr>
          <w:rFonts w:ascii="Century Gothic" w:eastAsia="Century Gothic" w:hAnsi="Century Gothic" w:cs="Century Gothic"/>
          <w:bCs/>
          <w:color w:val="595959" w:themeColor="text1" w:themeTint="A6"/>
          <w:sz w:val="24"/>
          <w:szCs w:val="24"/>
        </w:rPr>
        <w:t xml:space="preserve">El </w:t>
      </w:r>
      <w:proofErr w:type="spellStart"/>
      <w:r w:rsidRPr="008D3C8D">
        <w:rPr>
          <w:rFonts w:ascii="Century Gothic" w:eastAsia="Century Gothic" w:hAnsi="Century Gothic" w:cs="Century Gothic"/>
          <w:bCs/>
          <w:color w:val="595959" w:themeColor="text1" w:themeTint="A6"/>
          <w:sz w:val="24"/>
          <w:szCs w:val="24"/>
        </w:rPr>
        <w:t>loxoscelismo</w:t>
      </w:r>
      <w:proofErr w:type="spellEnd"/>
      <w:r w:rsidRPr="008D3C8D">
        <w:rPr>
          <w:rFonts w:ascii="Century Gothic" w:eastAsia="Century Gothic" w:hAnsi="Century Gothic" w:cs="Century Gothic"/>
          <w:bCs/>
          <w:color w:val="595959" w:themeColor="text1" w:themeTint="A6"/>
          <w:sz w:val="24"/>
          <w:szCs w:val="24"/>
        </w:rPr>
        <w:t xml:space="preserve"> representa un problema de salud pública. La picadura de araña </w:t>
      </w:r>
      <w:proofErr w:type="spellStart"/>
      <w:r w:rsidRPr="008D3C8D">
        <w:rPr>
          <w:rFonts w:ascii="Century Gothic" w:eastAsia="Century Gothic" w:hAnsi="Century Gothic" w:cs="Century Gothic"/>
          <w:bCs/>
          <w:color w:val="595959" w:themeColor="text1" w:themeTint="A6"/>
          <w:sz w:val="24"/>
          <w:szCs w:val="24"/>
        </w:rPr>
        <w:t>loxosceles</w:t>
      </w:r>
      <w:proofErr w:type="spellEnd"/>
      <w:r w:rsidRPr="008D3C8D">
        <w:rPr>
          <w:rFonts w:ascii="Century Gothic" w:eastAsia="Century Gothic" w:hAnsi="Century Gothic" w:cs="Century Gothic"/>
          <w:bCs/>
          <w:color w:val="595959" w:themeColor="text1" w:themeTint="A6"/>
          <w:sz w:val="24"/>
          <w:szCs w:val="24"/>
        </w:rPr>
        <w:t xml:space="preserve"> posee un veneno con capacidad </w:t>
      </w:r>
      <w:proofErr w:type="spellStart"/>
      <w:r w:rsidRPr="008D3C8D">
        <w:rPr>
          <w:rFonts w:ascii="Century Gothic" w:eastAsia="Century Gothic" w:hAnsi="Century Gothic" w:cs="Century Gothic"/>
          <w:bCs/>
          <w:color w:val="595959" w:themeColor="text1" w:themeTint="A6"/>
          <w:sz w:val="24"/>
          <w:szCs w:val="24"/>
        </w:rPr>
        <w:t>dermonecrótica</w:t>
      </w:r>
      <w:proofErr w:type="spellEnd"/>
      <w:r w:rsidRPr="008D3C8D">
        <w:rPr>
          <w:rFonts w:ascii="Century Gothic" w:eastAsia="Century Gothic" w:hAnsi="Century Gothic" w:cs="Century Gothic"/>
          <w:bCs/>
          <w:color w:val="595959" w:themeColor="text1" w:themeTint="A6"/>
          <w:sz w:val="24"/>
          <w:szCs w:val="24"/>
        </w:rPr>
        <w:t xml:space="preserve">, proteolítica y citotóxica; es considerado como uno de los venenos más mortales en su presentación más severa. Se presenta un caso </w:t>
      </w:r>
      <w:r w:rsidR="001C6F89" w:rsidRPr="008D3C8D">
        <w:rPr>
          <w:rFonts w:ascii="Century Gothic" w:eastAsia="Century Gothic" w:hAnsi="Century Gothic" w:cs="Century Gothic"/>
          <w:bCs/>
          <w:color w:val="595959" w:themeColor="text1" w:themeTint="A6"/>
          <w:sz w:val="24"/>
          <w:szCs w:val="24"/>
        </w:rPr>
        <w:t>clínico de</w:t>
      </w:r>
      <w:r w:rsidRPr="008D3C8D">
        <w:rPr>
          <w:rFonts w:ascii="Century Gothic" w:eastAsia="Century Gothic" w:hAnsi="Century Gothic" w:cs="Century Gothic"/>
          <w:bCs/>
          <w:color w:val="595959" w:themeColor="text1" w:themeTint="A6"/>
          <w:sz w:val="24"/>
          <w:szCs w:val="24"/>
        </w:rPr>
        <w:t xml:space="preserve"> una mujer de 55 años con antecedente de diabetes mellitus tipo 2 mal controlada</w:t>
      </w:r>
      <w:r w:rsidR="00B36639">
        <w:rPr>
          <w:rFonts w:ascii="Century Gothic" w:eastAsia="Century Gothic" w:hAnsi="Century Gothic" w:cs="Century Gothic"/>
          <w:bCs/>
          <w:color w:val="595959" w:themeColor="text1" w:themeTint="A6"/>
          <w:sz w:val="24"/>
          <w:szCs w:val="24"/>
        </w:rPr>
        <w:t xml:space="preserve">, </w:t>
      </w:r>
      <w:r w:rsidRPr="008D3C8D">
        <w:rPr>
          <w:rFonts w:ascii="Century Gothic" w:eastAsia="Century Gothic" w:hAnsi="Century Gothic" w:cs="Century Gothic"/>
          <w:bCs/>
          <w:color w:val="595959" w:themeColor="text1" w:themeTint="A6"/>
          <w:sz w:val="24"/>
          <w:szCs w:val="24"/>
        </w:rPr>
        <w:t>que acude con una lesión pruriginosa en miembro superior izquierdo</w:t>
      </w:r>
      <w:r w:rsidR="00B36639">
        <w:rPr>
          <w:rFonts w:ascii="Century Gothic" w:eastAsia="Century Gothic" w:hAnsi="Century Gothic" w:cs="Century Gothic"/>
          <w:bCs/>
          <w:color w:val="595959" w:themeColor="text1" w:themeTint="A6"/>
          <w:sz w:val="24"/>
          <w:szCs w:val="24"/>
        </w:rPr>
        <w:t xml:space="preserve"> y </w:t>
      </w:r>
      <w:r w:rsidRPr="008D3C8D">
        <w:rPr>
          <w:rFonts w:ascii="Century Gothic" w:eastAsia="Century Gothic" w:hAnsi="Century Gothic" w:cs="Century Gothic"/>
          <w:bCs/>
          <w:color w:val="595959" w:themeColor="text1" w:themeTint="A6"/>
          <w:sz w:val="24"/>
          <w:szCs w:val="24"/>
        </w:rPr>
        <w:t>evoluciona a placa necrótica violácea, sin evidencia de compromiso de gravedad.</w:t>
      </w:r>
    </w:p>
    <w:p w14:paraId="7F975039" w14:textId="77777777" w:rsidR="009C09C7" w:rsidRPr="008D3C8D" w:rsidRDefault="000F52BD" w:rsidP="001C6F89">
      <w:pPr>
        <w:pBdr>
          <w:top w:val="nil"/>
          <w:left w:val="nil"/>
          <w:bottom w:val="nil"/>
          <w:right w:val="nil"/>
          <w:between w:val="nil"/>
        </w:pBdr>
        <w:spacing w:before="240" w:after="240"/>
        <w:ind w:right="382"/>
        <w:jc w:val="both"/>
        <w:rPr>
          <w:rFonts w:ascii="Century Gothic" w:eastAsia="Century Gothic" w:hAnsi="Century Gothic" w:cs="Century Gothic"/>
          <w:b/>
          <w:color w:val="595959" w:themeColor="text1" w:themeTint="A6"/>
          <w:sz w:val="24"/>
          <w:szCs w:val="24"/>
        </w:rPr>
      </w:pPr>
      <w:r w:rsidRPr="008D3C8D">
        <w:rPr>
          <w:rFonts w:ascii="Century Gothic" w:eastAsia="Century Gothic" w:hAnsi="Century Gothic" w:cs="Century Gothic"/>
          <w:b/>
          <w:color w:val="000000" w:themeColor="text1"/>
          <w:sz w:val="24"/>
          <w:szCs w:val="24"/>
        </w:rPr>
        <w:t xml:space="preserve">Palabras clave: </w:t>
      </w:r>
      <w:r w:rsidRPr="008D3C8D">
        <w:rPr>
          <w:rFonts w:ascii="Century Gothic" w:eastAsia="Century Gothic" w:hAnsi="Century Gothic" w:cs="Century Gothic"/>
          <w:bCs/>
          <w:color w:val="595959" w:themeColor="text1" w:themeTint="A6"/>
          <w:sz w:val="24"/>
          <w:szCs w:val="24"/>
        </w:rPr>
        <w:t xml:space="preserve">Picadura de araña, </w:t>
      </w:r>
      <w:proofErr w:type="spellStart"/>
      <w:r w:rsidRPr="008D3C8D">
        <w:rPr>
          <w:rFonts w:ascii="Century Gothic" w:eastAsia="Century Gothic" w:hAnsi="Century Gothic" w:cs="Century Gothic"/>
          <w:bCs/>
          <w:color w:val="595959" w:themeColor="text1" w:themeTint="A6"/>
          <w:sz w:val="24"/>
          <w:szCs w:val="24"/>
        </w:rPr>
        <w:t>Loxosceles</w:t>
      </w:r>
      <w:proofErr w:type="spellEnd"/>
      <w:r w:rsidRPr="008D3C8D">
        <w:rPr>
          <w:rFonts w:ascii="Century Gothic" w:eastAsia="Century Gothic" w:hAnsi="Century Gothic" w:cs="Century Gothic"/>
          <w:bCs/>
          <w:color w:val="595959" w:themeColor="text1" w:themeTint="A6"/>
          <w:sz w:val="24"/>
          <w:szCs w:val="24"/>
        </w:rPr>
        <w:t xml:space="preserve">, </w:t>
      </w:r>
      <w:proofErr w:type="spellStart"/>
      <w:r w:rsidRPr="008D3C8D">
        <w:rPr>
          <w:rFonts w:ascii="Century Gothic" w:eastAsia="Century Gothic" w:hAnsi="Century Gothic" w:cs="Century Gothic"/>
          <w:bCs/>
          <w:color w:val="595959" w:themeColor="text1" w:themeTint="A6"/>
          <w:sz w:val="24"/>
          <w:szCs w:val="24"/>
        </w:rPr>
        <w:t>dermonecrótico</w:t>
      </w:r>
      <w:proofErr w:type="spellEnd"/>
      <w:r w:rsidRPr="008D3C8D">
        <w:rPr>
          <w:rFonts w:ascii="Century Gothic" w:eastAsia="Century Gothic" w:hAnsi="Century Gothic" w:cs="Century Gothic"/>
          <w:b/>
          <w:color w:val="595959" w:themeColor="text1" w:themeTint="A6"/>
          <w:sz w:val="24"/>
          <w:szCs w:val="24"/>
        </w:rPr>
        <w:t xml:space="preserve"> </w:t>
      </w:r>
    </w:p>
    <w:p w14:paraId="6AED8C25" w14:textId="77777777" w:rsidR="0092369A" w:rsidRPr="009A1568" w:rsidRDefault="0092369A" w:rsidP="001C6F89">
      <w:pPr>
        <w:pBdr>
          <w:top w:val="nil"/>
          <w:left w:val="nil"/>
          <w:bottom w:val="nil"/>
          <w:right w:val="nil"/>
          <w:between w:val="nil"/>
        </w:pBdr>
        <w:spacing w:before="240" w:after="240"/>
        <w:ind w:right="382"/>
        <w:jc w:val="both"/>
        <w:rPr>
          <w:rFonts w:ascii="Century Gothic" w:eastAsia="Century Gothic" w:hAnsi="Century Gothic" w:cs="Century Gothic"/>
          <w:b/>
          <w:color w:val="000000" w:themeColor="text1"/>
          <w:sz w:val="24"/>
          <w:szCs w:val="24"/>
          <w:lang w:val="en-US"/>
        </w:rPr>
      </w:pPr>
      <w:r w:rsidRPr="009A1568">
        <w:rPr>
          <w:rFonts w:ascii="Century Gothic" w:eastAsia="Century Gothic" w:hAnsi="Century Gothic" w:cs="Century Gothic"/>
          <w:b/>
          <w:color w:val="000000" w:themeColor="text1"/>
          <w:sz w:val="24"/>
          <w:szCs w:val="24"/>
          <w:lang w:val="en-US"/>
        </w:rPr>
        <w:t xml:space="preserve">SUMMARY </w:t>
      </w:r>
    </w:p>
    <w:p w14:paraId="362667F2" w14:textId="77777777" w:rsidR="0092369A" w:rsidRPr="009A1568" w:rsidRDefault="0092369A" w:rsidP="001C6F89">
      <w:pPr>
        <w:pBdr>
          <w:top w:val="nil"/>
          <w:left w:val="nil"/>
          <w:bottom w:val="nil"/>
          <w:right w:val="nil"/>
          <w:between w:val="nil"/>
        </w:pBdr>
        <w:spacing w:before="240" w:after="240"/>
        <w:ind w:right="382"/>
        <w:jc w:val="both"/>
        <w:rPr>
          <w:rFonts w:ascii="Century Gothic" w:eastAsia="Century Gothic" w:hAnsi="Century Gothic" w:cs="Century Gothic"/>
          <w:bCs/>
          <w:color w:val="595959" w:themeColor="text1" w:themeTint="A6"/>
          <w:sz w:val="24"/>
          <w:szCs w:val="24"/>
          <w:lang w:val="en-US"/>
        </w:rPr>
      </w:pPr>
      <w:r w:rsidRPr="009A1568">
        <w:rPr>
          <w:rFonts w:ascii="Century Gothic" w:eastAsia="Century Gothic" w:hAnsi="Century Gothic" w:cs="Century Gothic"/>
          <w:bCs/>
          <w:color w:val="595959" w:themeColor="text1" w:themeTint="A6"/>
          <w:sz w:val="24"/>
          <w:szCs w:val="24"/>
          <w:lang w:val="en-US"/>
        </w:rPr>
        <w:t>Loxoscelism represents a public health problem. The loxosceles spider bite has a venom with dermonecrotic, proteolytic and cytotoxic capacity; It is considered one of the deadliest poisons in its most severe presentation. A clinical case is presented of a 55-year-old woman with a history of poorly controlled type 2 diabetes mellitus who presented with a pruritic lesion on the left upper limb that evolved into a violaceous necrotic plaque, without evidence of serious involvement.</w:t>
      </w:r>
    </w:p>
    <w:p w14:paraId="7A6E762B" w14:textId="77777777" w:rsidR="0092369A" w:rsidRDefault="0092369A" w:rsidP="001C6F89">
      <w:pPr>
        <w:pBdr>
          <w:top w:val="nil"/>
          <w:left w:val="nil"/>
          <w:bottom w:val="nil"/>
          <w:right w:val="nil"/>
          <w:between w:val="nil"/>
        </w:pBdr>
        <w:spacing w:before="240" w:after="240"/>
        <w:ind w:right="382"/>
        <w:jc w:val="both"/>
        <w:rPr>
          <w:rFonts w:ascii="Century Gothic" w:eastAsia="Century Gothic" w:hAnsi="Century Gothic" w:cs="Century Gothic"/>
          <w:bCs/>
          <w:color w:val="595959" w:themeColor="text1" w:themeTint="A6"/>
          <w:sz w:val="24"/>
          <w:szCs w:val="24"/>
        </w:rPr>
      </w:pPr>
      <w:proofErr w:type="spellStart"/>
      <w:r w:rsidRPr="008D3C8D">
        <w:rPr>
          <w:rFonts w:ascii="Century Gothic" w:eastAsia="Century Gothic" w:hAnsi="Century Gothic" w:cs="Century Gothic"/>
          <w:b/>
          <w:color w:val="000000" w:themeColor="text1"/>
          <w:sz w:val="24"/>
          <w:szCs w:val="24"/>
        </w:rPr>
        <w:t>Keywords</w:t>
      </w:r>
      <w:proofErr w:type="spellEnd"/>
      <w:r w:rsidRPr="008D3C8D">
        <w:rPr>
          <w:rFonts w:ascii="Century Gothic" w:eastAsia="Century Gothic" w:hAnsi="Century Gothic" w:cs="Century Gothic"/>
          <w:b/>
          <w:color w:val="000000" w:themeColor="text1"/>
          <w:sz w:val="24"/>
          <w:szCs w:val="24"/>
        </w:rPr>
        <w:t xml:space="preserve">: </w:t>
      </w:r>
      <w:r w:rsidRPr="008D3C8D">
        <w:rPr>
          <w:rFonts w:ascii="Century Gothic" w:eastAsia="Century Gothic" w:hAnsi="Century Gothic" w:cs="Century Gothic"/>
          <w:bCs/>
          <w:color w:val="595959" w:themeColor="text1" w:themeTint="A6"/>
          <w:sz w:val="24"/>
          <w:szCs w:val="24"/>
        </w:rPr>
        <w:t xml:space="preserve">Spider bite, </w:t>
      </w:r>
      <w:proofErr w:type="spellStart"/>
      <w:r w:rsidRPr="008D3C8D">
        <w:rPr>
          <w:rFonts w:ascii="Century Gothic" w:eastAsia="Century Gothic" w:hAnsi="Century Gothic" w:cs="Century Gothic"/>
          <w:bCs/>
          <w:color w:val="595959" w:themeColor="text1" w:themeTint="A6"/>
          <w:sz w:val="24"/>
          <w:szCs w:val="24"/>
        </w:rPr>
        <w:t>Loxosceles</w:t>
      </w:r>
      <w:proofErr w:type="spellEnd"/>
      <w:r w:rsidRPr="008D3C8D">
        <w:rPr>
          <w:rFonts w:ascii="Century Gothic" w:eastAsia="Century Gothic" w:hAnsi="Century Gothic" w:cs="Century Gothic"/>
          <w:bCs/>
          <w:color w:val="595959" w:themeColor="text1" w:themeTint="A6"/>
          <w:sz w:val="24"/>
          <w:szCs w:val="24"/>
        </w:rPr>
        <w:t xml:space="preserve">, </w:t>
      </w:r>
      <w:proofErr w:type="spellStart"/>
      <w:r w:rsidRPr="008D3C8D">
        <w:rPr>
          <w:rFonts w:ascii="Century Gothic" w:eastAsia="Century Gothic" w:hAnsi="Century Gothic" w:cs="Century Gothic"/>
          <w:bCs/>
          <w:color w:val="595959" w:themeColor="text1" w:themeTint="A6"/>
          <w:sz w:val="24"/>
          <w:szCs w:val="24"/>
        </w:rPr>
        <w:t>dermonecrotic</w:t>
      </w:r>
      <w:proofErr w:type="spellEnd"/>
    </w:p>
    <w:p w14:paraId="7AB845DB" w14:textId="77777777" w:rsidR="00B36639" w:rsidRPr="008D3C8D" w:rsidRDefault="00B36639" w:rsidP="001C6F89">
      <w:pPr>
        <w:pBdr>
          <w:top w:val="nil"/>
          <w:left w:val="nil"/>
          <w:bottom w:val="nil"/>
          <w:right w:val="nil"/>
          <w:between w:val="nil"/>
        </w:pBdr>
        <w:spacing w:before="240" w:after="240"/>
        <w:ind w:right="382"/>
        <w:jc w:val="both"/>
        <w:rPr>
          <w:rFonts w:ascii="Century Gothic" w:eastAsia="Century Gothic" w:hAnsi="Century Gothic" w:cs="Century Gothic"/>
          <w:bCs/>
          <w:color w:val="595959" w:themeColor="text1" w:themeTint="A6"/>
          <w:sz w:val="24"/>
          <w:szCs w:val="24"/>
        </w:rPr>
      </w:pPr>
    </w:p>
    <w:p w14:paraId="0A5CD4AE" w14:textId="77777777" w:rsidR="0092369A" w:rsidRPr="008D3C8D" w:rsidRDefault="0092369A"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themeColor="text1"/>
          <w:sz w:val="24"/>
          <w:szCs w:val="24"/>
        </w:rPr>
      </w:pPr>
      <w:r w:rsidRPr="008D3C8D">
        <w:rPr>
          <w:rFonts w:ascii="Century Gothic" w:eastAsia="Century Gothic" w:hAnsi="Century Gothic" w:cs="Century Gothic"/>
          <w:b/>
          <w:color w:val="000000" w:themeColor="text1"/>
          <w:sz w:val="24"/>
          <w:szCs w:val="24"/>
        </w:rPr>
        <w:t>CASO CLÍNICO</w:t>
      </w:r>
    </w:p>
    <w:p w14:paraId="2657BCE7" w14:textId="77777777" w:rsidR="009C09C7" w:rsidRPr="00C415A8"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bCs/>
          <w:color w:val="282938"/>
          <w:sz w:val="24"/>
          <w:szCs w:val="24"/>
        </w:rPr>
        <w:t xml:space="preserve">Paciente de sexo femenino de 55 años proveniente de Anta Mollepata Cusco, con diagnóstico de diabetes Mellitus tipo 2 mal controlada, niega </w:t>
      </w:r>
      <w:r w:rsidRPr="00C415A8">
        <w:rPr>
          <w:rFonts w:ascii="Century Gothic" w:eastAsia="Century Gothic" w:hAnsi="Century Gothic" w:cs="Century Gothic"/>
          <w:bCs/>
          <w:color w:val="282938"/>
          <w:sz w:val="24"/>
          <w:szCs w:val="24"/>
        </w:rPr>
        <w:lastRenderedPageBreak/>
        <w:t xml:space="preserve">hábitos </w:t>
      </w:r>
      <w:r w:rsidR="0092369A" w:rsidRPr="00C415A8">
        <w:rPr>
          <w:rFonts w:ascii="Century Gothic" w:eastAsia="Century Gothic" w:hAnsi="Century Gothic" w:cs="Century Gothic"/>
          <w:bCs/>
          <w:color w:val="282938"/>
          <w:sz w:val="24"/>
          <w:szCs w:val="24"/>
        </w:rPr>
        <w:t>nocivos, sin</w:t>
      </w:r>
      <w:r w:rsidRPr="00C415A8">
        <w:rPr>
          <w:rFonts w:ascii="Century Gothic" w:eastAsia="Century Gothic" w:hAnsi="Century Gothic" w:cs="Century Gothic"/>
          <w:bCs/>
          <w:color w:val="282938"/>
          <w:sz w:val="24"/>
          <w:szCs w:val="24"/>
        </w:rPr>
        <w:t xml:space="preserve"> antecedentes familiares de importancia. Refiere que</w:t>
      </w:r>
      <w:r w:rsidRPr="00C415A8">
        <w:rPr>
          <w:rFonts w:ascii="Century Gothic" w:eastAsia="Century Gothic" w:hAnsi="Century Gothic" w:cs="Century Gothic"/>
          <w:b/>
          <w:color w:val="282938"/>
          <w:sz w:val="24"/>
          <w:szCs w:val="24"/>
        </w:rPr>
        <w:t xml:space="preserve"> </w:t>
      </w:r>
      <w:r w:rsidRPr="00C415A8">
        <w:rPr>
          <w:rFonts w:ascii="Century Gothic" w:eastAsia="Century Gothic" w:hAnsi="Century Gothic" w:cs="Century Gothic"/>
          <w:color w:val="282938"/>
          <w:sz w:val="24"/>
          <w:szCs w:val="24"/>
        </w:rPr>
        <w:t xml:space="preserve">mientras se aseaba en su casa sintió una punzada en el antebrazo izquierdo, ignorando el suceso la paciente continúa sus labores. Al día siguiente sintió una sensación de ardor, quemazón, alza </w:t>
      </w:r>
      <w:r w:rsidR="00C415A8" w:rsidRPr="00C415A8">
        <w:rPr>
          <w:rFonts w:ascii="Century Gothic" w:eastAsia="Century Gothic" w:hAnsi="Century Gothic" w:cs="Century Gothic"/>
          <w:color w:val="282938"/>
          <w:sz w:val="24"/>
          <w:szCs w:val="24"/>
        </w:rPr>
        <w:t>térmica en</w:t>
      </w:r>
      <w:r w:rsidRPr="00C415A8">
        <w:rPr>
          <w:rFonts w:ascii="Century Gothic" w:eastAsia="Century Gothic" w:hAnsi="Century Gothic" w:cs="Century Gothic"/>
          <w:color w:val="282938"/>
          <w:sz w:val="24"/>
          <w:szCs w:val="24"/>
        </w:rPr>
        <w:t xml:space="preserve"> dicha zona y esta iba incrementando razón por la que acude a la posta más cercana, donde le indican tratamiento analgésico. Al no calmar el dolor y percatarse que la zona se ponía necrótica la paciente acude al Hospital Regional del Cusco. Una vez ingresada la paciente se solicita control de funciones vitales; se </w:t>
      </w:r>
      <w:r w:rsidR="00C415A8" w:rsidRPr="00C415A8">
        <w:rPr>
          <w:rFonts w:ascii="Century Gothic" w:eastAsia="Century Gothic" w:hAnsi="Century Gothic" w:cs="Century Gothic"/>
          <w:color w:val="282938"/>
          <w:sz w:val="24"/>
          <w:szCs w:val="24"/>
        </w:rPr>
        <w:t>evidenciaron valores</w:t>
      </w:r>
      <w:r w:rsidRPr="00C415A8">
        <w:rPr>
          <w:rFonts w:ascii="Century Gothic" w:eastAsia="Century Gothic" w:hAnsi="Century Gothic" w:cs="Century Gothic"/>
          <w:color w:val="282938"/>
          <w:sz w:val="24"/>
          <w:szCs w:val="24"/>
        </w:rPr>
        <w:t xml:space="preserve"> de</w:t>
      </w:r>
      <w:r w:rsidRPr="00C415A8">
        <w:rPr>
          <w:rFonts w:ascii="Century Gothic" w:eastAsia="Century Gothic" w:hAnsi="Century Gothic" w:cs="Century Gothic"/>
          <w:b/>
          <w:color w:val="282938"/>
          <w:sz w:val="24"/>
          <w:szCs w:val="24"/>
        </w:rPr>
        <w:t xml:space="preserve"> </w:t>
      </w:r>
      <w:r w:rsidRPr="00C415A8">
        <w:rPr>
          <w:rFonts w:ascii="Century Gothic" w:eastAsia="Century Gothic" w:hAnsi="Century Gothic" w:cs="Century Gothic"/>
          <w:color w:val="282938"/>
          <w:sz w:val="24"/>
          <w:szCs w:val="24"/>
        </w:rPr>
        <w:t xml:space="preserve">frecuencia cardiaca </w:t>
      </w:r>
      <w:proofErr w:type="gramStart"/>
      <w:r w:rsidRPr="00C415A8">
        <w:rPr>
          <w:rFonts w:ascii="Century Gothic" w:eastAsia="Century Gothic" w:hAnsi="Century Gothic" w:cs="Century Gothic"/>
          <w:color w:val="282938"/>
          <w:sz w:val="24"/>
          <w:szCs w:val="24"/>
        </w:rPr>
        <w:t>de  96</w:t>
      </w:r>
      <w:proofErr w:type="gram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lpm</w:t>
      </w:r>
      <w:proofErr w:type="spellEnd"/>
      <w:r w:rsidRPr="00C415A8">
        <w:rPr>
          <w:rFonts w:ascii="Century Gothic" w:eastAsia="Century Gothic" w:hAnsi="Century Gothic" w:cs="Century Gothic"/>
          <w:color w:val="282938"/>
          <w:sz w:val="24"/>
          <w:szCs w:val="24"/>
        </w:rPr>
        <w:t xml:space="preserve">, frecuencia respiratoria de 18 rpm, presión arterial de 149/88 </w:t>
      </w:r>
      <w:proofErr w:type="spellStart"/>
      <w:r w:rsidRPr="00C415A8">
        <w:rPr>
          <w:rFonts w:ascii="Century Gothic" w:eastAsia="Century Gothic" w:hAnsi="Century Gothic" w:cs="Century Gothic"/>
          <w:color w:val="282938"/>
          <w:sz w:val="24"/>
          <w:szCs w:val="24"/>
        </w:rPr>
        <w:t>mmhg</w:t>
      </w:r>
      <w:proofErr w:type="spellEnd"/>
      <w:r w:rsidRPr="00C415A8">
        <w:rPr>
          <w:rFonts w:ascii="Century Gothic" w:eastAsia="Century Gothic" w:hAnsi="Century Gothic" w:cs="Century Gothic"/>
          <w:color w:val="282938"/>
          <w:sz w:val="24"/>
          <w:szCs w:val="24"/>
        </w:rPr>
        <w:t xml:space="preserve">, temperatura de  36 </w:t>
      </w:r>
      <w:proofErr w:type="spellStart"/>
      <w:r w:rsidRPr="00C415A8">
        <w:rPr>
          <w:rFonts w:ascii="Century Gothic" w:eastAsia="Century Gothic" w:hAnsi="Century Gothic" w:cs="Century Gothic"/>
          <w:color w:val="282938"/>
          <w:sz w:val="24"/>
          <w:szCs w:val="24"/>
        </w:rPr>
        <w:t>ºC</w:t>
      </w:r>
      <w:proofErr w:type="spellEnd"/>
      <w:r w:rsidRPr="00C415A8">
        <w:rPr>
          <w:rFonts w:ascii="Century Gothic" w:eastAsia="Century Gothic" w:hAnsi="Century Gothic" w:cs="Century Gothic"/>
          <w:color w:val="282938"/>
          <w:sz w:val="24"/>
          <w:szCs w:val="24"/>
        </w:rPr>
        <w:t>, SatO2 90% y un FiO2: 0.24. Hemograma completo con resultados de creatinina en sangre de 0.41 mg/</w:t>
      </w:r>
      <w:proofErr w:type="spellStart"/>
      <w:r w:rsidRPr="00C415A8">
        <w:rPr>
          <w:rFonts w:ascii="Century Gothic" w:eastAsia="Century Gothic" w:hAnsi="Century Gothic" w:cs="Century Gothic"/>
          <w:color w:val="282938"/>
          <w:sz w:val="24"/>
          <w:szCs w:val="24"/>
        </w:rPr>
        <w:t>dL</w:t>
      </w:r>
      <w:proofErr w:type="spellEnd"/>
      <w:proofErr w:type="gramStart"/>
      <w:r w:rsidRPr="00C415A8">
        <w:rPr>
          <w:rFonts w:ascii="Century Gothic" w:eastAsia="Century Gothic" w:hAnsi="Century Gothic" w:cs="Century Gothic"/>
          <w:color w:val="282938"/>
          <w:sz w:val="24"/>
          <w:szCs w:val="24"/>
        </w:rPr>
        <w:t>.</w:t>
      </w:r>
      <w:r w:rsidRPr="00C415A8">
        <w:rPr>
          <w:color w:val="282938"/>
          <w:sz w:val="24"/>
          <w:szCs w:val="24"/>
        </w:rPr>
        <w:t xml:space="preserve"> ,</w:t>
      </w:r>
      <w:proofErr w:type="gramEnd"/>
      <w:r w:rsidRPr="00C415A8">
        <w:rPr>
          <w:color w:val="282938"/>
          <w:sz w:val="24"/>
          <w:szCs w:val="24"/>
        </w:rPr>
        <w:t xml:space="preserve"> g</w:t>
      </w:r>
      <w:r w:rsidRPr="00C415A8">
        <w:rPr>
          <w:rFonts w:ascii="Century Gothic" w:eastAsia="Century Gothic" w:hAnsi="Century Gothic" w:cs="Century Gothic"/>
          <w:color w:val="282938"/>
          <w:sz w:val="24"/>
          <w:szCs w:val="24"/>
        </w:rPr>
        <w:t>lucosa cuantitativa de 135mg/</w:t>
      </w:r>
      <w:proofErr w:type="spellStart"/>
      <w:r w:rsidRPr="00C415A8">
        <w:rPr>
          <w:rFonts w:ascii="Century Gothic" w:eastAsia="Century Gothic" w:hAnsi="Century Gothic" w:cs="Century Gothic"/>
          <w:color w:val="282938"/>
          <w:sz w:val="24"/>
          <w:szCs w:val="24"/>
        </w:rPr>
        <w:t>dL</w:t>
      </w:r>
      <w:proofErr w:type="spellEnd"/>
      <w:r w:rsidRPr="00C415A8">
        <w:rPr>
          <w:rFonts w:ascii="Century Gothic" w:eastAsia="Century Gothic" w:hAnsi="Century Gothic" w:cs="Century Gothic"/>
          <w:color w:val="282938"/>
          <w:sz w:val="24"/>
          <w:szCs w:val="24"/>
        </w:rPr>
        <w:t>., WBC 11.19. 10'3/</w:t>
      </w:r>
      <w:proofErr w:type="spellStart"/>
      <w:r w:rsidRPr="00C415A8">
        <w:rPr>
          <w:rFonts w:ascii="Century Gothic" w:eastAsia="Century Gothic" w:hAnsi="Century Gothic" w:cs="Century Gothic"/>
          <w:color w:val="282938"/>
          <w:sz w:val="24"/>
          <w:szCs w:val="24"/>
        </w:rPr>
        <w:t>uL</w:t>
      </w:r>
      <w:proofErr w:type="spellEnd"/>
      <w:r w:rsidRPr="00C415A8">
        <w:rPr>
          <w:rFonts w:ascii="Century Gothic" w:eastAsia="Century Gothic" w:hAnsi="Century Gothic" w:cs="Century Gothic"/>
          <w:color w:val="282938"/>
          <w:sz w:val="24"/>
          <w:szCs w:val="24"/>
        </w:rPr>
        <w:t>. PCT 0.323%. HGB 15.6 g/</w:t>
      </w:r>
      <w:proofErr w:type="spellStart"/>
      <w:r w:rsidRPr="00C415A8">
        <w:rPr>
          <w:rFonts w:ascii="Century Gothic" w:eastAsia="Century Gothic" w:hAnsi="Century Gothic" w:cs="Century Gothic"/>
          <w:color w:val="282938"/>
          <w:sz w:val="24"/>
          <w:szCs w:val="24"/>
        </w:rPr>
        <w:t>dL</w:t>
      </w:r>
      <w:proofErr w:type="spellEnd"/>
      <w:r w:rsidRPr="00C415A8">
        <w:rPr>
          <w:rFonts w:ascii="Century Gothic" w:eastAsia="Century Gothic" w:hAnsi="Century Gothic" w:cs="Century Gothic"/>
          <w:color w:val="282938"/>
          <w:sz w:val="24"/>
          <w:szCs w:val="24"/>
        </w:rPr>
        <w:t>.</w:t>
      </w:r>
      <w:r w:rsidRPr="00C415A8">
        <w:rPr>
          <w:color w:val="282938"/>
          <w:sz w:val="24"/>
          <w:szCs w:val="24"/>
        </w:rPr>
        <w:t xml:space="preserve"> </w:t>
      </w:r>
      <w:r w:rsidR="00C415A8" w:rsidRPr="00C415A8">
        <w:rPr>
          <w:rFonts w:ascii="Century Gothic" w:eastAsia="Century Gothic" w:hAnsi="Century Gothic" w:cs="Century Gothic"/>
          <w:color w:val="282938"/>
          <w:sz w:val="24"/>
          <w:szCs w:val="24"/>
        </w:rPr>
        <w:t>neutrófilo</w:t>
      </w:r>
      <w:r w:rsidRPr="00C415A8">
        <w:rPr>
          <w:rFonts w:ascii="Century Gothic" w:eastAsia="Century Gothic" w:hAnsi="Century Gothic" w:cs="Century Gothic"/>
          <w:color w:val="282938"/>
          <w:sz w:val="24"/>
          <w:szCs w:val="24"/>
        </w:rPr>
        <w:t xml:space="preserve"> </w:t>
      </w:r>
      <w:proofErr w:type="gramStart"/>
      <w:r w:rsidRPr="00C415A8">
        <w:rPr>
          <w:rFonts w:ascii="Century Gothic" w:eastAsia="Century Gothic" w:hAnsi="Century Gothic" w:cs="Century Gothic"/>
          <w:color w:val="282938"/>
          <w:sz w:val="24"/>
          <w:szCs w:val="24"/>
        </w:rPr>
        <w:t>de  7.68</w:t>
      </w:r>
      <w:proofErr w:type="gramEnd"/>
      <w:r w:rsidRPr="00C415A8">
        <w:rPr>
          <w:rFonts w:ascii="Century Gothic" w:eastAsia="Century Gothic" w:hAnsi="Century Gothic" w:cs="Century Gothic"/>
          <w:color w:val="282938"/>
          <w:sz w:val="24"/>
          <w:szCs w:val="24"/>
        </w:rPr>
        <w:t xml:space="preserve"> 10'3/</w:t>
      </w:r>
      <w:proofErr w:type="spellStart"/>
      <w:r w:rsidRPr="00C415A8">
        <w:rPr>
          <w:rFonts w:ascii="Century Gothic" w:eastAsia="Century Gothic" w:hAnsi="Century Gothic" w:cs="Century Gothic"/>
          <w:color w:val="282938"/>
          <w:sz w:val="24"/>
          <w:szCs w:val="24"/>
        </w:rPr>
        <w:t>uL</w:t>
      </w:r>
      <w:proofErr w:type="spellEnd"/>
      <w:r w:rsidRPr="00C415A8">
        <w:rPr>
          <w:rFonts w:ascii="Century Gothic" w:eastAsia="Century Gothic" w:hAnsi="Century Gothic" w:cs="Century Gothic"/>
          <w:color w:val="282938"/>
          <w:sz w:val="24"/>
          <w:szCs w:val="24"/>
        </w:rPr>
        <w:t xml:space="preserve">. </w:t>
      </w:r>
      <w:r w:rsidRPr="00C415A8">
        <w:rPr>
          <w:color w:val="282938"/>
          <w:sz w:val="24"/>
          <w:szCs w:val="24"/>
        </w:rPr>
        <w:t xml:space="preserve">y </w:t>
      </w:r>
      <w:r w:rsidRPr="00C415A8">
        <w:rPr>
          <w:rFonts w:ascii="Century Gothic" w:eastAsia="Century Gothic" w:hAnsi="Century Gothic" w:cs="Century Gothic"/>
          <w:color w:val="282938"/>
          <w:sz w:val="24"/>
          <w:szCs w:val="24"/>
        </w:rPr>
        <w:t>RBC 5.17 10'6/</w:t>
      </w:r>
      <w:proofErr w:type="spellStart"/>
      <w:r w:rsidRPr="00C415A8">
        <w:rPr>
          <w:rFonts w:ascii="Century Gothic" w:eastAsia="Century Gothic" w:hAnsi="Century Gothic" w:cs="Century Gothic"/>
          <w:color w:val="282938"/>
          <w:sz w:val="24"/>
          <w:szCs w:val="24"/>
        </w:rPr>
        <w:t>uL</w:t>
      </w:r>
      <w:proofErr w:type="spellEnd"/>
      <w:r w:rsidRPr="00C415A8">
        <w:rPr>
          <w:rFonts w:ascii="Century Gothic" w:eastAsia="Century Gothic" w:hAnsi="Century Gothic" w:cs="Century Gothic"/>
          <w:color w:val="282938"/>
          <w:sz w:val="24"/>
          <w:szCs w:val="24"/>
        </w:rPr>
        <w:t>. Sedimento urinario con células epiteliales abundantes por campo</w:t>
      </w:r>
      <w:r w:rsidRPr="00C415A8">
        <w:rPr>
          <w:color w:val="282938"/>
          <w:sz w:val="24"/>
          <w:szCs w:val="24"/>
        </w:rPr>
        <w:t>, l</w:t>
      </w:r>
      <w:r w:rsidRPr="00C415A8">
        <w:rPr>
          <w:rFonts w:ascii="Century Gothic" w:eastAsia="Century Gothic" w:hAnsi="Century Gothic" w:cs="Century Gothic"/>
          <w:color w:val="282938"/>
          <w:sz w:val="24"/>
          <w:szCs w:val="24"/>
        </w:rPr>
        <w:t>eucocitos de 2-4 por campo, hematíes 0 por campo y escasas bacterias.</w:t>
      </w:r>
    </w:p>
    <w:p w14:paraId="0EF6AB69" w14:textId="77777777" w:rsidR="009C09C7" w:rsidRPr="00C415A8"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t xml:space="preserve">Al </w:t>
      </w:r>
      <w:r w:rsidR="00C415A8" w:rsidRPr="00C415A8">
        <w:rPr>
          <w:rFonts w:ascii="Century Gothic" w:eastAsia="Century Gothic" w:hAnsi="Century Gothic" w:cs="Century Gothic"/>
          <w:color w:val="282938"/>
          <w:sz w:val="24"/>
          <w:szCs w:val="24"/>
        </w:rPr>
        <w:t>examen</w:t>
      </w:r>
      <w:r w:rsidRPr="00C415A8">
        <w:rPr>
          <w:rFonts w:ascii="Century Gothic" w:eastAsia="Century Gothic" w:hAnsi="Century Gothic" w:cs="Century Gothic"/>
          <w:color w:val="282938"/>
          <w:sz w:val="24"/>
          <w:szCs w:val="24"/>
        </w:rPr>
        <w:t xml:space="preserve"> físico se encuentra en moderado estado general, moderado estado de hidratación.  Piel tibia, elástica, buen llenado capilar, se observa lesión necrótica en antebrazo izquierdo, placa </w:t>
      </w:r>
      <w:proofErr w:type="spellStart"/>
      <w:r w:rsidRPr="00C415A8">
        <w:rPr>
          <w:rFonts w:ascii="Century Gothic" w:eastAsia="Century Gothic" w:hAnsi="Century Gothic" w:cs="Century Gothic"/>
          <w:color w:val="282938"/>
          <w:sz w:val="24"/>
          <w:szCs w:val="24"/>
        </w:rPr>
        <w:t>livedoide</w:t>
      </w:r>
      <w:proofErr w:type="spellEnd"/>
      <w:r w:rsidRPr="00C415A8">
        <w:rPr>
          <w:rFonts w:ascii="Century Gothic" w:eastAsia="Century Gothic" w:hAnsi="Century Gothic" w:cs="Century Gothic"/>
          <w:color w:val="282938"/>
          <w:sz w:val="24"/>
          <w:szCs w:val="24"/>
        </w:rPr>
        <w:t xml:space="preserve"> de 5 x 3 cm de 5 días de evolución con bordes definidos, dolorosa a la palpación (</w:t>
      </w:r>
      <w:proofErr w:type="spellStart"/>
      <w:r w:rsidRPr="00C415A8">
        <w:rPr>
          <w:rFonts w:ascii="Century Gothic" w:eastAsia="Century Gothic" w:hAnsi="Century Gothic" w:cs="Century Gothic"/>
          <w:color w:val="282938"/>
          <w:sz w:val="24"/>
          <w:szCs w:val="24"/>
        </w:rPr>
        <w:t>fig</w:t>
      </w:r>
      <w:proofErr w:type="spellEnd"/>
      <w:r w:rsidRPr="00C415A8">
        <w:rPr>
          <w:rFonts w:ascii="Century Gothic" w:eastAsia="Century Gothic" w:hAnsi="Century Gothic" w:cs="Century Gothic"/>
          <w:color w:val="282938"/>
          <w:sz w:val="24"/>
          <w:szCs w:val="24"/>
        </w:rPr>
        <w:t xml:space="preserve"> 1.), No presenta adenopatías a nivel </w:t>
      </w:r>
      <w:r w:rsidR="001C6F89" w:rsidRPr="00C415A8">
        <w:rPr>
          <w:rFonts w:ascii="Century Gothic" w:eastAsia="Century Gothic" w:hAnsi="Century Gothic" w:cs="Century Gothic"/>
          <w:color w:val="282938"/>
          <w:sz w:val="24"/>
          <w:szCs w:val="24"/>
        </w:rPr>
        <w:t>regional, a</w:t>
      </w:r>
      <w:r w:rsidRPr="00C415A8">
        <w:rPr>
          <w:rFonts w:ascii="Century Gothic" w:eastAsia="Century Gothic" w:hAnsi="Century Gothic" w:cs="Century Gothic"/>
          <w:color w:val="282938"/>
          <w:sz w:val="24"/>
          <w:szCs w:val="24"/>
        </w:rPr>
        <w:t xml:space="preserve"> nivel genitourinario </w:t>
      </w:r>
      <w:r w:rsidR="00C415A8" w:rsidRPr="00C415A8">
        <w:rPr>
          <w:rFonts w:ascii="Century Gothic" w:eastAsia="Century Gothic" w:hAnsi="Century Gothic" w:cs="Century Gothic"/>
          <w:color w:val="282938"/>
          <w:sz w:val="24"/>
          <w:szCs w:val="24"/>
        </w:rPr>
        <w:t>puño percusión</w:t>
      </w:r>
      <w:r w:rsidRPr="00C415A8">
        <w:rPr>
          <w:rFonts w:ascii="Century Gothic" w:eastAsia="Century Gothic" w:hAnsi="Century Gothic" w:cs="Century Gothic"/>
          <w:color w:val="282938"/>
          <w:sz w:val="24"/>
          <w:szCs w:val="24"/>
        </w:rPr>
        <w:t xml:space="preserve"> negativo.</w:t>
      </w:r>
    </w:p>
    <w:p w14:paraId="281A852E" w14:textId="77777777" w:rsidR="009C09C7" w:rsidRPr="00C415A8"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t>Al examen neurológico pupilas isocóricas, fotosensibles, movimientos oculares complejos, agudeza visual disminuida. LOTEP, activo, responde a la entrevista, responde a estímulos, no signos de focalización, no signos de meningismo.</w:t>
      </w:r>
    </w:p>
    <w:p w14:paraId="1C740BBB" w14:textId="77777777" w:rsidR="009C09C7"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t>La paciente recibe NaCl al 9%, antibioticoterapia (Ceftriaxona 2g c/</w:t>
      </w:r>
      <w:proofErr w:type="gramStart"/>
      <w:r w:rsidRPr="00C415A8">
        <w:rPr>
          <w:rFonts w:ascii="Century Gothic" w:eastAsia="Century Gothic" w:hAnsi="Century Gothic" w:cs="Century Gothic"/>
          <w:color w:val="282938"/>
          <w:sz w:val="24"/>
          <w:szCs w:val="24"/>
        </w:rPr>
        <w:t>24 ,</w:t>
      </w:r>
      <w:proofErr w:type="gramEnd"/>
      <w:r w:rsidRPr="00C415A8">
        <w:rPr>
          <w:rFonts w:ascii="Century Gothic" w:eastAsia="Century Gothic" w:hAnsi="Century Gothic" w:cs="Century Gothic"/>
          <w:color w:val="282938"/>
          <w:sz w:val="24"/>
          <w:szCs w:val="24"/>
        </w:rPr>
        <w:t xml:space="preserve"> clindamicina 600mg c/8h , omeprazol c/12 VO, Dapsona 10mg c/8h VO, dexametasona 4mg c/12h EV, metamizol 1g EV, curación tópica y se indica reevaluación con resultados. </w:t>
      </w:r>
    </w:p>
    <w:p w14:paraId="2AF2CC7E" w14:textId="77777777" w:rsidR="00C415A8" w:rsidRPr="00C415A8" w:rsidRDefault="00C415A8" w:rsidP="001C6F89">
      <w:pPr>
        <w:spacing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lastRenderedPageBreak/>
        <w:t>Días posteriores se le vuelve a evaluar solicitando un hemograma (</w:t>
      </w:r>
      <w:proofErr w:type="spellStart"/>
      <w:r w:rsidRPr="00C415A8">
        <w:rPr>
          <w:rFonts w:ascii="Century Gothic" w:eastAsia="Century Gothic" w:hAnsi="Century Gothic" w:cs="Century Gothic"/>
          <w:color w:val="282938"/>
          <w:sz w:val="24"/>
          <w:szCs w:val="24"/>
        </w:rPr>
        <w:t>Fig</w:t>
      </w:r>
      <w:proofErr w:type="spellEnd"/>
      <w:r w:rsidRPr="00C415A8">
        <w:rPr>
          <w:rFonts w:ascii="Century Gothic" w:eastAsia="Century Gothic" w:hAnsi="Century Gothic" w:cs="Century Gothic"/>
          <w:color w:val="282938"/>
          <w:sz w:val="24"/>
          <w:szCs w:val="24"/>
        </w:rPr>
        <w:t xml:space="preserve"> 2.), Tiempo de protrombina 13.1.seg, TTPa 32.9seg, fibrinógeno de 399</w:t>
      </w:r>
      <w:r w:rsidRPr="00C415A8">
        <w:rPr>
          <w:color w:val="282938"/>
          <w:sz w:val="24"/>
          <w:szCs w:val="24"/>
        </w:rPr>
        <w:t xml:space="preserve"> e I</w:t>
      </w:r>
      <w:r w:rsidRPr="00C415A8">
        <w:rPr>
          <w:rFonts w:ascii="Century Gothic" w:eastAsia="Century Gothic" w:hAnsi="Century Gothic" w:cs="Century Gothic"/>
          <w:color w:val="282938"/>
          <w:sz w:val="24"/>
          <w:szCs w:val="24"/>
        </w:rPr>
        <w:t xml:space="preserve">INR 1.0. Se indica </w:t>
      </w:r>
      <w:proofErr w:type="spellStart"/>
      <w:r w:rsidRPr="00C415A8">
        <w:rPr>
          <w:rFonts w:ascii="Century Gothic" w:eastAsia="Century Gothic" w:hAnsi="Century Gothic" w:cs="Century Gothic"/>
          <w:color w:val="282938"/>
          <w:sz w:val="24"/>
          <w:szCs w:val="24"/>
        </w:rPr>
        <w:t>escarectomía</w:t>
      </w:r>
      <w:proofErr w:type="spellEnd"/>
      <w:r w:rsidRPr="00C415A8">
        <w:rPr>
          <w:rFonts w:ascii="Century Gothic" w:eastAsia="Century Gothic" w:hAnsi="Century Gothic" w:cs="Century Gothic"/>
          <w:color w:val="282938"/>
          <w:sz w:val="24"/>
          <w:szCs w:val="24"/>
        </w:rPr>
        <w:t xml:space="preserve"> y adecuado manejo de la diabetes tipo 2.</w:t>
      </w:r>
    </w:p>
    <w:p w14:paraId="3F9BC328" w14:textId="77777777" w:rsidR="00C415A8" w:rsidRPr="00C415A8" w:rsidRDefault="00C415A8"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t xml:space="preserve">Es dada de alta con adecuada evolución y tratamiento de metformina, </w:t>
      </w:r>
      <w:proofErr w:type="spellStart"/>
      <w:r w:rsidRPr="00C415A8">
        <w:rPr>
          <w:rFonts w:ascii="Century Gothic" w:eastAsia="Century Gothic" w:hAnsi="Century Gothic" w:cs="Century Gothic"/>
          <w:color w:val="282938"/>
          <w:sz w:val="24"/>
          <w:szCs w:val="24"/>
        </w:rPr>
        <w:t>losartán</w:t>
      </w:r>
      <w:proofErr w:type="spellEnd"/>
      <w:r w:rsidRPr="00C415A8">
        <w:rPr>
          <w:rFonts w:ascii="Century Gothic" w:eastAsia="Century Gothic" w:hAnsi="Century Gothic" w:cs="Century Gothic"/>
          <w:color w:val="282938"/>
          <w:sz w:val="24"/>
          <w:szCs w:val="24"/>
        </w:rPr>
        <w:t>, atorvastatina 2mg, ibuprofeno 4 mg y control de cicatrización</w:t>
      </w:r>
    </w:p>
    <w:p w14:paraId="559AB703" w14:textId="77777777" w:rsidR="009C09C7" w:rsidRPr="00C415A8" w:rsidRDefault="008D3C8D" w:rsidP="001C6F89">
      <w:pPr>
        <w:spacing w:line="360" w:lineRule="auto"/>
        <w:ind w:right="382"/>
        <w:jc w:val="both"/>
        <w:rPr>
          <w:rFonts w:ascii="Century Gothic" w:eastAsia="Century Gothic" w:hAnsi="Century Gothic" w:cs="Century Gothic"/>
          <w:color w:val="282938"/>
          <w:sz w:val="24"/>
          <w:szCs w:val="24"/>
        </w:rPr>
      </w:pPr>
      <w:r>
        <w:rPr>
          <w:rFonts w:ascii="Century Gothic" w:eastAsia="Century Gothic" w:hAnsi="Century Gothic" w:cs="Century Gothic"/>
          <w:noProof/>
          <w:color w:val="282938"/>
          <w:sz w:val="24"/>
          <w:szCs w:val="24"/>
        </w:rPr>
        <mc:AlternateContent>
          <mc:Choice Requires="wps">
            <w:drawing>
              <wp:anchor distT="0" distB="0" distL="114300" distR="114300" simplePos="0" relativeHeight="251662336" behindDoc="0" locked="0" layoutInCell="1" allowOverlap="1" wp14:anchorId="6F54BCE9" wp14:editId="20E02970">
                <wp:simplePos x="0" y="0"/>
                <wp:positionH relativeFrom="margin">
                  <wp:posOffset>3178629</wp:posOffset>
                </wp:positionH>
                <wp:positionV relativeFrom="paragraph">
                  <wp:posOffset>3750128</wp:posOffset>
                </wp:positionV>
                <wp:extent cx="2582999" cy="798195"/>
                <wp:effectExtent l="0" t="0" r="27305" b="20955"/>
                <wp:wrapNone/>
                <wp:docPr id="2" name="Rectángulo 2"/>
                <wp:cNvGraphicFramePr/>
                <a:graphic xmlns:a="http://schemas.openxmlformats.org/drawingml/2006/main">
                  <a:graphicData uri="http://schemas.microsoft.com/office/word/2010/wordprocessingShape">
                    <wps:wsp>
                      <wps:cNvSpPr/>
                      <wps:spPr>
                        <a:xfrm>
                          <a:off x="0" y="0"/>
                          <a:ext cx="2582999" cy="798195"/>
                        </a:xfrm>
                        <a:prstGeom prst="rect">
                          <a:avLst/>
                        </a:prstGeom>
                        <a:ln>
                          <a:solidFill>
                            <a:schemeClr val="accent4">
                              <a:lumMod val="75000"/>
                            </a:schemeClr>
                          </a:solidFill>
                        </a:ln>
                      </wps:spPr>
                      <wps:style>
                        <a:lnRef idx="2">
                          <a:schemeClr val="accent2"/>
                        </a:lnRef>
                        <a:fillRef idx="1">
                          <a:schemeClr val="lt1"/>
                        </a:fillRef>
                        <a:effectRef idx="0">
                          <a:schemeClr val="accent2"/>
                        </a:effectRef>
                        <a:fontRef idx="minor">
                          <a:schemeClr val="dk1"/>
                        </a:fontRef>
                      </wps:style>
                      <wps:txbx>
                        <w:txbxContent>
                          <w:p w14:paraId="410B8037" w14:textId="77777777" w:rsidR="00C415A8" w:rsidRPr="00C415A8" w:rsidRDefault="00C415A8" w:rsidP="00C415A8">
                            <w:pPr>
                              <w:pStyle w:val="Sinespaciado"/>
                              <w:jc w:val="center"/>
                              <w:rPr>
                                <w:rFonts w:ascii="Century Gothic" w:hAnsi="Century Gothic"/>
                                <w:b/>
                                <w:sz w:val="20"/>
                                <w:szCs w:val="20"/>
                              </w:rPr>
                            </w:pPr>
                            <w:r w:rsidRPr="00C415A8">
                              <w:rPr>
                                <w:rFonts w:ascii="Century Gothic" w:hAnsi="Century Gothic"/>
                                <w:b/>
                                <w:bCs/>
                                <w:sz w:val="20"/>
                                <w:szCs w:val="20"/>
                              </w:rPr>
                              <w:t>Fig. 2</w:t>
                            </w:r>
                            <w:r w:rsidRPr="00C415A8">
                              <w:rPr>
                                <w:rFonts w:ascii="Century Gothic" w:hAnsi="Century Gothic"/>
                                <w:sz w:val="20"/>
                                <w:szCs w:val="20"/>
                              </w:rPr>
                              <w:t xml:space="preserve">  PLACA VIOLÁCEA NECRÓTICA CON DESCAMACIONES DE BORDES DEFINIDOS E IRREGULARES DE 3X5 CM DE 8  DÍAS DE EVOLUCIÓN</w:t>
                            </w:r>
                          </w:p>
                          <w:p w14:paraId="714291E6" w14:textId="77777777" w:rsidR="00C415A8" w:rsidRPr="00C415A8" w:rsidRDefault="00C415A8" w:rsidP="00C415A8">
                            <w:pPr>
                              <w:pStyle w:val="Sinespaciado"/>
                              <w:jc w:val="cente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F5FE7D" id="Rectángulo 2" o:spid="_x0000_s1026" style="position:absolute;left:0;text-align:left;margin-left:250.3pt;margin-top:295.3pt;width:203.4pt;height:62.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KHnQIAAIcFAAAOAAAAZHJzL2Uyb0RvYy54bWysVM1u2zAMvg/YOwi6r/5BsjZBnSJo0WFA&#10;1xVth54VWUqMSaImKbGzt9mz7MVGyY4bdDkNu8ikSX4UP5G8vOq0IjvhfAOmosVZTokwHOrGrCv6&#10;7fn2wwUlPjBTMwVGVHQvPL1avH932dq5KGEDqhaOIIjx89ZWdBOCnWeZ5xuhmT8DKwwaJTjNAqpu&#10;ndWOtYiuVVbm+cesBVdbB1x4j39veiNdJHwpBQ9fpfQiEFVRvFtIp0vnKp7Z4pLN147ZTcOHa7B/&#10;uIVmjcGkI9QNC4xsXfMXlG64Aw8ynHHQGUjZcJFqwGqK/E01TxtmRaoFyfF2pMn/P1h+v3twpKkr&#10;WlJimMYnekTSfv8y660CUkaCWuvn6PdkH9ygeRRjtZ10On6xDtIlUvcjqaILhOPPcnpRzmYzSjja&#10;zmcXxWwaQbPXaOt8+CRAkyhU1GH+xCXb3fnQux5cYjJl4ulBNfVto1RSYruIa+XIjuFDM86FCZME&#10;orb6C9T9//Npnqcnx+Spw2JIusoRGtpihixW3deZpLBXos/+KCQSFitLCUag49yJt4SE3jFM4k3H&#10;wOJUoArFwMvgG8NEauExMD8V2Fd7yDhGpKxgwhisGwPuFED9fczc+x+q72uO5Ydu1Q1vv4J6jy3j&#10;oJ8lb/ltg+92x3x4YA6HB8cMF0L4iodU0FYUBomSDbifp/5Hf+xptFLS4jBW1P/YMicoUZ8Ndvus&#10;mEzi9CZlMj0vUXHHltWxxWz1NWAbFLh6LE9i9A/qIEoH+gX3xjJmRRMzHHNXlAd3UK5DvyRw83Cx&#10;XCY3nFjLwp15sjyCR4JjXz53L8zZoXkDtv09HAaXzd/0cO8bIw0stwFkkxo8UtzzOlCP0576cthM&#10;cZ0c68nrdX8u/gAAAP//AwBQSwMEFAAGAAgAAAAhACoxlqndAAAACwEAAA8AAABkcnMvZG93bnJl&#10;di54bWxMj8FOwzAMhu9IvENkJC6IpQO20tJ0QkW7wwbSjmkT2ojGrppsLW+Pd2K33/Kvz5+Lzex7&#10;cbJjcIQKlosEhMWGjMNWwed+e/8MIkSNRveEVsGvDbApr68KnRua8MOedrEVDMGQawVdjEMuZWg6&#10;63VY0GCRd980eh15HFtpRj0x3PfyIUnW0muHfKHTg6062/zsjl4BmdX79HY4VBmle7qLtfvaukqp&#10;25v59QVEtHP8L8NZn9WhZKeajmiC6BWsmM5VDtk5cCNL0icQtYJ0uX4EWRby8ofyDwAA//8DAFBL&#10;AQItABQABgAIAAAAIQC2gziS/gAAAOEBAAATAAAAAAAAAAAAAAAAAAAAAABbQ29udGVudF9UeXBl&#10;c10ueG1sUEsBAi0AFAAGAAgAAAAhADj9If/WAAAAlAEAAAsAAAAAAAAAAAAAAAAALwEAAF9yZWxz&#10;Ly5yZWxzUEsBAi0AFAAGAAgAAAAhAMIRAoedAgAAhwUAAA4AAAAAAAAAAAAAAAAALgIAAGRycy9l&#10;Mm9Eb2MueG1sUEsBAi0AFAAGAAgAAAAhACoxlqndAAAACwEAAA8AAAAAAAAAAAAAAAAA9wQAAGRy&#10;cy9kb3ducmV2LnhtbFBLBQYAAAAABAAEAPMAAAABBgAAAAA=&#10;" fillcolor="white [3201]" strokecolor="#5f497a [2407]" strokeweight="2pt">
                <v:textbox>
                  <w:txbxContent>
                    <w:p w:rsidR="00C415A8" w:rsidRPr="00C415A8" w:rsidRDefault="00C415A8" w:rsidP="00C415A8">
                      <w:pPr>
                        <w:pStyle w:val="Sinespaciado"/>
                        <w:jc w:val="center"/>
                        <w:rPr>
                          <w:rFonts w:ascii="Century Gothic" w:hAnsi="Century Gothic"/>
                          <w:b/>
                          <w:sz w:val="20"/>
                          <w:szCs w:val="20"/>
                        </w:rPr>
                      </w:pPr>
                      <w:r w:rsidRPr="00C415A8">
                        <w:rPr>
                          <w:rFonts w:ascii="Century Gothic" w:hAnsi="Century Gothic"/>
                          <w:b/>
                          <w:bCs/>
                          <w:sz w:val="20"/>
                          <w:szCs w:val="20"/>
                        </w:rPr>
                        <w:t xml:space="preserve">Fig. </w:t>
                      </w:r>
                      <w:proofErr w:type="gramStart"/>
                      <w:r w:rsidRPr="00C415A8">
                        <w:rPr>
                          <w:rFonts w:ascii="Century Gothic" w:hAnsi="Century Gothic"/>
                          <w:b/>
                          <w:bCs/>
                          <w:sz w:val="20"/>
                          <w:szCs w:val="20"/>
                        </w:rPr>
                        <w:t>2</w:t>
                      </w:r>
                      <w:r w:rsidRPr="00C415A8">
                        <w:rPr>
                          <w:rFonts w:ascii="Century Gothic" w:hAnsi="Century Gothic"/>
                          <w:sz w:val="20"/>
                          <w:szCs w:val="20"/>
                        </w:rPr>
                        <w:t xml:space="preserve">  PLACA</w:t>
                      </w:r>
                      <w:proofErr w:type="gramEnd"/>
                      <w:r w:rsidRPr="00C415A8">
                        <w:rPr>
                          <w:rFonts w:ascii="Century Gothic" w:hAnsi="Century Gothic"/>
                          <w:sz w:val="20"/>
                          <w:szCs w:val="20"/>
                        </w:rPr>
                        <w:t xml:space="preserve"> VIOLÁCEA NECRÓTICA CON DESCAMACIONES DE BORDES DEFINIDOS E IRREGULARES DE 3X5 CM DE 8  DÍAS DE EVOLUCIÓN</w:t>
                      </w:r>
                    </w:p>
                    <w:p w:rsidR="00C415A8" w:rsidRPr="00C415A8" w:rsidRDefault="00C415A8" w:rsidP="00C415A8">
                      <w:pPr>
                        <w:pStyle w:val="Sinespaciado"/>
                        <w:jc w:val="center"/>
                        <w:rPr>
                          <w:rFonts w:ascii="Century Gothic" w:hAnsi="Century Gothic"/>
                          <w:sz w:val="20"/>
                          <w:szCs w:val="20"/>
                        </w:rPr>
                      </w:pPr>
                    </w:p>
                  </w:txbxContent>
                </v:textbox>
                <w10:wrap anchorx="margin"/>
              </v:rect>
            </w:pict>
          </mc:Fallback>
        </mc:AlternateContent>
      </w:r>
      <w:r w:rsidR="00C415A8">
        <w:rPr>
          <w:rFonts w:ascii="Century Gothic" w:eastAsia="Century Gothic" w:hAnsi="Century Gothic" w:cs="Century Gothic"/>
          <w:noProof/>
          <w:color w:val="282938"/>
          <w:sz w:val="24"/>
          <w:szCs w:val="24"/>
        </w:rPr>
        <mc:AlternateContent>
          <mc:Choice Requires="wps">
            <w:drawing>
              <wp:anchor distT="0" distB="0" distL="114300" distR="114300" simplePos="0" relativeHeight="251660288" behindDoc="0" locked="0" layoutInCell="1" allowOverlap="1" wp14:anchorId="52A26BA7" wp14:editId="3C08C7D3">
                <wp:simplePos x="0" y="0"/>
                <wp:positionH relativeFrom="margin">
                  <wp:posOffset>145143</wp:posOffset>
                </wp:positionH>
                <wp:positionV relativeFrom="paragraph">
                  <wp:posOffset>3749493</wp:posOffset>
                </wp:positionV>
                <wp:extent cx="2554514" cy="798286"/>
                <wp:effectExtent l="0" t="0" r="17780" b="20955"/>
                <wp:wrapNone/>
                <wp:docPr id="1" name="Rectángulo 1"/>
                <wp:cNvGraphicFramePr/>
                <a:graphic xmlns:a="http://schemas.openxmlformats.org/drawingml/2006/main">
                  <a:graphicData uri="http://schemas.microsoft.com/office/word/2010/wordprocessingShape">
                    <wps:wsp>
                      <wps:cNvSpPr/>
                      <wps:spPr>
                        <a:xfrm>
                          <a:off x="0" y="0"/>
                          <a:ext cx="2554514" cy="798286"/>
                        </a:xfrm>
                        <a:prstGeom prst="rect">
                          <a:avLst/>
                        </a:prstGeom>
                        <a:ln>
                          <a:solidFill>
                            <a:schemeClr val="accent4">
                              <a:lumMod val="75000"/>
                            </a:schemeClr>
                          </a:solidFill>
                        </a:ln>
                      </wps:spPr>
                      <wps:style>
                        <a:lnRef idx="2">
                          <a:schemeClr val="accent2"/>
                        </a:lnRef>
                        <a:fillRef idx="1">
                          <a:schemeClr val="lt1"/>
                        </a:fillRef>
                        <a:effectRef idx="0">
                          <a:schemeClr val="accent2"/>
                        </a:effectRef>
                        <a:fontRef idx="minor">
                          <a:schemeClr val="dk1"/>
                        </a:fontRef>
                      </wps:style>
                      <wps:txbx>
                        <w:txbxContent>
                          <w:p w14:paraId="45271D78" w14:textId="77777777" w:rsidR="00C415A8" w:rsidRPr="00C415A8" w:rsidRDefault="00C415A8" w:rsidP="00C415A8">
                            <w:pPr>
                              <w:pStyle w:val="Sinespaciado"/>
                              <w:jc w:val="center"/>
                              <w:rPr>
                                <w:rFonts w:ascii="Century Gothic" w:hAnsi="Century Gothic"/>
                                <w:sz w:val="20"/>
                                <w:szCs w:val="20"/>
                              </w:rPr>
                            </w:pPr>
                            <w:r w:rsidRPr="00C415A8">
                              <w:rPr>
                                <w:rFonts w:ascii="Century Gothic" w:hAnsi="Century Gothic"/>
                                <w:b/>
                                <w:bCs/>
                                <w:sz w:val="20"/>
                                <w:szCs w:val="20"/>
                              </w:rPr>
                              <w:t>Fig. 1</w:t>
                            </w:r>
                            <w:r w:rsidRPr="00C415A8">
                              <w:rPr>
                                <w:rFonts w:ascii="Century Gothic" w:hAnsi="Century Gothic"/>
                                <w:sz w:val="20"/>
                                <w:szCs w:val="20"/>
                              </w:rPr>
                              <w:t xml:space="preserve"> PLACA VIOLÁCEA NECRÓTICA CON DESCAMACIONES DE BORDES DEFINIDOS E IRREGULARES DE 3X5 CM DE 5 DÍAS DE EVOLUCIÓN</w:t>
                            </w:r>
                          </w:p>
                          <w:p w14:paraId="08A2628F" w14:textId="77777777" w:rsidR="00C415A8" w:rsidRPr="00C415A8" w:rsidRDefault="00C415A8" w:rsidP="00C415A8">
                            <w:pPr>
                              <w:pStyle w:val="Sinespaciado"/>
                              <w:jc w:val="center"/>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1" o:spid="_x0000_s1027" style="position:absolute;left:0;text-align:left;margin-left:11.45pt;margin-top:295.25pt;width:201.15pt;height:62.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2qGnwIAAI4FAAAOAAAAZHJzL2Uyb0RvYy54bWysVNtuGyEQfa/Uf0C8N7u27FysrCMrUapK&#10;aRIlqfKMWbBRgaGAvev+Tb+lP9aBXW+s1E9VX1jYuRzOcGYur1qjyVb4oMBWdHRSUiIsh1rZVUW/&#10;vdx+OqckRGZrpsGKiu5EoFfzjx8uGzcTY1iDroUnmMSGWeMquo7RzYoi8LUwLJyAExaNErxhEY9+&#10;VdSeNZjd6GJclqdFA752HrgIAf/edEY6z/mlFDw+SBlEJLqieLeYV5/XZVqL+SWbrTxza8X7a7B/&#10;uIVhyiLokOqGRUY2Xv2VyijuIYCMJxxMAVIqLjIHZDMq37F5XjMnMhcsTnBDmcL/S8vvt4+eqBrf&#10;jhLLDD7RExbt9y+72mggo1SgxoUZ+j27R9+fAm4T21Z6k77Ig7S5qLuhqKKNhOPP8XQ6mY4mlHC0&#10;nV2cj89PU9LiLdr5ED8LMCRtKuoRP9eSbe9C7Fz3LglM27QG0Kq+VVrnQ5KLuNaebBk+NONc2DjJ&#10;SfTGfIW6+382Lcv85AieFZZC8lUOsqEtIRSJdccz7+JOiw79SUgsWGKWAYZEh9jjnqK26J3CJN50&#10;CBwdC9QxFxvhe98UJrKEh8DyWGDHdo84RGRUsHEINsqCP5ag/j4gd/579h3nRD+2y7ZXSS+BJdQ7&#10;VI6HrqWC47cKn++OhfjIPPYQdhvOhfiAi9TQVBT6HSVr8D+P/U/+KG20UtJgT1Y0/NgwLyjRXyyK&#10;/mI0maQmzofJ9GyMB39oWR5a7MZcA6oBhY23y9vkH/V+Kz2YVxwfi4SKJmY5YleUR78/XMduVuAA&#10;4mKxyG7YuI7FO/vseEqe6pzk+dK+Mu96DUdU/z3s+5fN3km5802RFhabCFJlnadKd3XtXwCbPsuz&#10;H1Bpqhyes9fbGJ3/AQAA//8DAFBLAwQUAAYACAAAACEAF3fKid4AAAAKAQAADwAAAGRycy9kb3du&#10;cmV2LnhtbEyPwU7DMBBE70j8g7VIXBB1apGWhGwqFNQ7tCD16MQmiYh3o9htwt9jTnBczdPM22K3&#10;uEFc7OR7JoT1KgFhqWHTU4vwftzfP4LwQZPRA5NF+LYeduX1VaFzwzO92cshtCKWkM81QhfCmEvp&#10;m8467Vc8WorZJ09Oh3hOrTSTnmO5G6RKko10uqe40OnRVp1tvg5nh8AmfZ1fTqcq4+2R70Ldf+z7&#10;CvH2Znl+AhHsEv5g+NWP6lBGp5rPZLwYEJTKIomQZkkKIgIPKlUgaoTteqNAloX8/0L5AwAA//8D&#10;AFBLAQItABQABgAIAAAAIQC2gziS/gAAAOEBAAATAAAAAAAAAAAAAAAAAAAAAABbQ29udGVudF9U&#10;eXBlc10ueG1sUEsBAi0AFAAGAAgAAAAhADj9If/WAAAAlAEAAAsAAAAAAAAAAAAAAAAALwEAAF9y&#10;ZWxzLy5yZWxzUEsBAi0AFAAGAAgAAAAhABM7aoafAgAAjgUAAA4AAAAAAAAAAAAAAAAALgIAAGRy&#10;cy9lMm9Eb2MueG1sUEsBAi0AFAAGAAgAAAAhABd3yoneAAAACgEAAA8AAAAAAAAAAAAAAAAA+QQA&#10;AGRycy9kb3ducmV2LnhtbFBLBQYAAAAABAAEAPMAAAAEBgAAAAA=&#10;" fillcolor="white [3201]" strokecolor="#5f497a [2407]" strokeweight="2pt">
                <v:textbox>
                  <w:txbxContent>
                    <w:p w:rsidR="00C415A8" w:rsidRPr="00C415A8" w:rsidRDefault="00C415A8" w:rsidP="00C415A8">
                      <w:pPr>
                        <w:pStyle w:val="Sinespaciado"/>
                        <w:jc w:val="center"/>
                        <w:rPr>
                          <w:rFonts w:ascii="Century Gothic" w:hAnsi="Century Gothic"/>
                          <w:sz w:val="20"/>
                          <w:szCs w:val="20"/>
                        </w:rPr>
                      </w:pPr>
                      <w:r w:rsidRPr="00C415A8">
                        <w:rPr>
                          <w:rFonts w:ascii="Century Gothic" w:hAnsi="Century Gothic"/>
                          <w:b/>
                          <w:bCs/>
                          <w:sz w:val="20"/>
                          <w:szCs w:val="20"/>
                        </w:rPr>
                        <w:t>Fig. 1</w:t>
                      </w:r>
                      <w:r w:rsidRPr="00C415A8">
                        <w:rPr>
                          <w:rFonts w:ascii="Century Gothic" w:hAnsi="Century Gothic"/>
                          <w:sz w:val="20"/>
                          <w:szCs w:val="20"/>
                        </w:rPr>
                        <w:t xml:space="preserve"> PLACA VIOLÁCEA NECRÓTICA CON DESCAMACIONES DE BORDES DEFINIDOS E IRREGULARES DE 3X5 CM DE 5 DÍAS DE EVOLUCIÓN</w:t>
                      </w:r>
                    </w:p>
                    <w:p w:rsidR="00C415A8" w:rsidRPr="00C415A8" w:rsidRDefault="00C415A8" w:rsidP="00C415A8">
                      <w:pPr>
                        <w:pStyle w:val="Sinespaciado"/>
                        <w:jc w:val="center"/>
                        <w:rPr>
                          <w:rFonts w:ascii="Century Gothic" w:hAnsi="Century Gothic"/>
                          <w:sz w:val="20"/>
                          <w:szCs w:val="20"/>
                        </w:rPr>
                      </w:pPr>
                    </w:p>
                  </w:txbxContent>
                </v:textbox>
                <w10:wrap anchorx="margin"/>
              </v:rect>
            </w:pict>
          </mc:Fallback>
        </mc:AlternateContent>
      </w:r>
      <w:r w:rsidR="00C415A8" w:rsidRPr="00C415A8">
        <w:rPr>
          <w:noProof/>
          <w:sz w:val="24"/>
          <w:szCs w:val="24"/>
        </w:rPr>
        <w:drawing>
          <wp:anchor distT="0" distB="0" distL="114300" distR="114300" simplePos="0" relativeHeight="251659264" behindDoc="1" locked="0" layoutInCell="1" hidden="0" allowOverlap="1" wp14:anchorId="37E6C18B" wp14:editId="2A9BCDCF">
            <wp:simplePos x="0" y="0"/>
            <wp:positionH relativeFrom="page">
              <wp:posOffset>3945981</wp:posOffset>
            </wp:positionH>
            <wp:positionV relativeFrom="paragraph">
              <wp:posOffset>114935</wp:posOffset>
            </wp:positionV>
            <wp:extent cx="2872740" cy="3460115"/>
            <wp:effectExtent l="95250" t="95250" r="99060" b="102235"/>
            <wp:wrapTight wrapText="bothSides">
              <wp:wrapPolygon edited="0">
                <wp:start x="-716" y="-595"/>
                <wp:lineTo x="-716" y="22119"/>
                <wp:lineTo x="22202" y="22119"/>
                <wp:lineTo x="22202" y="-595"/>
                <wp:lineTo x="-716" y="-595"/>
              </wp:wrapPolygon>
            </wp:wrapTight>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l="12245" r="11424" b="10301"/>
                    <a:stretch>
                      <a:fillRect/>
                    </a:stretch>
                  </pic:blipFill>
                  <pic:spPr>
                    <a:xfrm>
                      <a:off x="0" y="0"/>
                      <a:ext cx="2872740" cy="3460115"/>
                    </a:xfrm>
                    <a:prstGeom prst="rect">
                      <a:avLst/>
                    </a:prstGeom>
                    <a:ln w="88900">
                      <a:solidFill>
                        <a:srgbClr val="FFFFFF"/>
                      </a:solidFill>
                      <a:prstDash val="solid"/>
                    </a:ln>
                  </pic:spPr>
                </pic:pic>
              </a:graphicData>
            </a:graphic>
            <wp14:sizeRelH relativeFrom="margin">
              <wp14:pctWidth>0</wp14:pctWidth>
            </wp14:sizeRelH>
            <wp14:sizeRelV relativeFrom="margin">
              <wp14:pctHeight>0</wp14:pctHeight>
            </wp14:sizeRelV>
          </wp:anchor>
        </w:drawing>
      </w:r>
      <w:r w:rsidR="00C415A8" w:rsidRPr="00C415A8">
        <w:rPr>
          <w:noProof/>
          <w:sz w:val="24"/>
          <w:szCs w:val="24"/>
        </w:rPr>
        <w:drawing>
          <wp:anchor distT="0" distB="0" distL="114300" distR="114300" simplePos="0" relativeHeight="251658240" behindDoc="1" locked="0" layoutInCell="1" hidden="0" allowOverlap="1" wp14:anchorId="36334FA6" wp14:editId="698357C9">
            <wp:simplePos x="0" y="0"/>
            <wp:positionH relativeFrom="margin">
              <wp:posOffset>-5171</wp:posOffset>
            </wp:positionH>
            <wp:positionV relativeFrom="paragraph">
              <wp:posOffset>100330</wp:posOffset>
            </wp:positionV>
            <wp:extent cx="2807335" cy="3474720"/>
            <wp:effectExtent l="95250" t="95250" r="88265" b="87630"/>
            <wp:wrapTight wrapText="bothSides">
              <wp:wrapPolygon edited="0">
                <wp:start x="-733" y="-592"/>
                <wp:lineTo x="-733" y="22026"/>
                <wp:lineTo x="22133" y="22026"/>
                <wp:lineTo x="22133" y="-592"/>
                <wp:lineTo x="-733" y="-592"/>
              </wp:wrapPolygon>
            </wp:wrapTight>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0"/>
                    <a:srcRect l="24463" r="14832"/>
                    <a:stretch/>
                  </pic:blipFill>
                  <pic:spPr bwMode="auto">
                    <a:xfrm>
                      <a:off x="0" y="0"/>
                      <a:ext cx="2807335" cy="3474720"/>
                    </a:xfrm>
                    <a:prstGeom prst="rect">
                      <a:avLst/>
                    </a:prstGeom>
                    <a:ln w="88900" cap="flat" cmpd="sng" algn="ctr">
                      <a:solidFill>
                        <a:srgbClr val="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6BD3FE" w14:textId="77777777" w:rsidR="009C09C7" w:rsidRPr="00C415A8" w:rsidRDefault="009C09C7" w:rsidP="001C6F89">
      <w:pPr>
        <w:spacing w:line="360" w:lineRule="auto"/>
        <w:ind w:right="382"/>
        <w:jc w:val="both"/>
        <w:rPr>
          <w:rFonts w:ascii="Century Gothic" w:eastAsia="Century Gothic" w:hAnsi="Century Gothic" w:cs="Century Gothic"/>
          <w:color w:val="282938"/>
          <w:sz w:val="24"/>
          <w:szCs w:val="24"/>
        </w:rPr>
      </w:pPr>
    </w:p>
    <w:p w14:paraId="62B0924F" w14:textId="77777777" w:rsidR="009C09C7" w:rsidRPr="00C415A8" w:rsidRDefault="009C09C7" w:rsidP="001C6F89">
      <w:pPr>
        <w:spacing w:line="360" w:lineRule="auto"/>
        <w:ind w:right="382"/>
        <w:jc w:val="both"/>
        <w:rPr>
          <w:rFonts w:ascii="Century Gothic" w:eastAsia="Century Gothic" w:hAnsi="Century Gothic" w:cs="Century Gothic"/>
          <w:color w:val="282938"/>
          <w:sz w:val="24"/>
          <w:szCs w:val="24"/>
        </w:rPr>
      </w:pPr>
    </w:p>
    <w:p w14:paraId="2AE9D524" w14:textId="77777777" w:rsidR="009C09C7" w:rsidRPr="00C415A8" w:rsidRDefault="009C09C7" w:rsidP="001C6F89">
      <w:pPr>
        <w:spacing w:line="360" w:lineRule="auto"/>
        <w:ind w:right="382"/>
        <w:jc w:val="both"/>
        <w:rPr>
          <w:rFonts w:ascii="Century Gothic" w:eastAsia="Century Gothic" w:hAnsi="Century Gothic" w:cs="Century Gothic"/>
          <w:color w:val="282938"/>
          <w:sz w:val="24"/>
          <w:szCs w:val="24"/>
          <w:u w:val="single"/>
        </w:rPr>
      </w:pPr>
    </w:p>
    <w:p w14:paraId="67A283E4" w14:textId="77777777" w:rsidR="009C09C7" w:rsidRPr="00C415A8" w:rsidRDefault="000F52BD" w:rsidP="001C6F89">
      <w:pPr>
        <w:pBdr>
          <w:top w:val="nil"/>
          <w:left w:val="nil"/>
          <w:bottom w:val="nil"/>
          <w:right w:val="nil"/>
          <w:between w:val="nil"/>
        </w:pBdr>
        <w:spacing w:before="240" w:line="480" w:lineRule="auto"/>
        <w:ind w:right="382"/>
        <w:jc w:val="both"/>
        <w:rPr>
          <w:rFonts w:ascii="Century Gothic" w:eastAsia="Century Gothic" w:hAnsi="Century Gothic" w:cs="Century Gothic"/>
          <w:b/>
          <w:color w:val="000000"/>
          <w:sz w:val="24"/>
          <w:szCs w:val="24"/>
        </w:rPr>
      </w:pPr>
      <w:r w:rsidRPr="00C415A8">
        <w:rPr>
          <w:rFonts w:ascii="Century Gothic" w:eastAsia="Century Gothic" w:hAnsi="Century Gothic" w:cs="Century Gothic"/>
          <w:b/>
          <w:sz w:val="24"/>
          <w:szCs w:val="24"/>
        </w:rPr>
        <w:t>LOXOSCELISMO</w:t>
      </w:r>
    </w:p>
    <w:p w14:paraId="60AABC69" w14:textId="77777777" w:rsidR="009C09C7" w:rsidRPr="00C415A8" w:rsidRDefault="000F52BD" w:rsidP="001C6F89">
      <w:pPr>
        <w:pBdr>
          <w:top w:val="nil"/>
          <w:left w:val="nil"/>
          <w:bottom w:val="nil"/>
          <w:right w:val="nil"/>
          <w:between w:val="nil"/>
        </w:pBdr>
        <w:spacing w:line="360" w:lineRule="auto"/>
        <w:ind w:right="382"/>
        <w:jc w:val="both"/>
        <w:rPr>
          <w:rFonts w:ascii="Century Gothic" w:eastAsia="Century Gothic" w:hAnsi="Century Gothic" w:cs="Century Gothic"/>
          <w:sz w:val="24"/>
          <w:szCs w:val="24"/>
        </w:rPr>
      </w:pPr>
      <w:r w:rsidRPr="006853C8">
        <w:rPr>
          <w:rFonts w:ascii="Century Gothic" w:eastAsia="Century Gothic" w:hAnsi="Century Gothic" w:cs="Century Gothic"/>
          <w:color w:val="000000"/>
          <w:sz w:val="24"/>
          <w:szCs w:val="24"/>
        </w:rPr>
        <w:t xml:space="preserve">El </w:t>
      </w:r>
      <w:proofErr w:type="spellStart"/>
      <w:r w:rsidRPr="006853C8">
        <w:rPr>
          <w:rFonts w:ascii="Century Gothic" w:eastAsia="Century Gothic" w:hAnsi="Century Gothic" w:cs="Century Gothic"/>
          <w:color w:val="000000"/>
          <w:sz w:val="24"/>
          <w:szCs w:val="24"/>
        </w:rPr>
        <w:t>loxoscelismo</w:t>
      </w:r>
      <w:proofErr w:type="spellEnd"/>
      <w:r w:rsidRPr="008D3C8D">
        <w:rPr>
          <w:rFonts w:ascii="Century Gothic" w:eastAsia="Century Gothic" w:hAnsi="Century Gothic" w:cs="Century Gothic"/>
          <w:bCs/>
          <w:color w:val="000000"/>
          <w:sz w:val="24"/>
          <w:szCs w:val="24"/>
        </w:rPr>
        <w:t xml:space="preserve"> </w:t>
      </w:r>
      <w:r w:rsidRPr="00C415A8">
        <w:rPr>
          <w:rFonts w:ascii="Century Gothic" w:eastAsia="Century Gothic" w:hAnsi="Century Gothic" w:cs="Century Gothic"/>
          <w:color w:val="000000"/>
          <w:sz w:val="24"/>
          <w:szCs w:val="24"/>
        </w:rPr>
        <w:t xml:space="preserve">es el conjunto de manifestaciones clínicas provocadas por la mordedura de arañas del género </w:t>
      </w:r>
      <w:proofErr w:type="spellStart"/>
      <w:r w:rsidRPr="00C415A8">
        <w:rPr>
          <w:rFonts w:ascii="Century Gothic" w:eastAsia="Century Gothic" w:hAnsi="Century Gothic" w:cs="Century Gothic"/>
          <w:i/>
          <w:color w:val="000000"/>
          <w:sz w:val="24"/>
          <w:szCs w:val="24"/>
        </w:rPr>
        <w:t>Loxosceles</w:t>
      </w:r>
      <w:proofErr w:type="spellEnd"/>
      <w:r w:rsidRPr="00C415A8">
        <w:rPr>
          <w:rFonts w:ascii="Century Gothic" w:eastAsia="Century Gothic" w:hAnsi="Century Gothic" w:cs="Century Gothic"/>
          <w:color w:val="000000"/>
          <w:sz w:val="24"/>
          <w:szCs w:val="24"/>
        </w:rPr>
        <w:t>. Esta mordedura puede causar lesiones tanto cutáneas como sistémicas, siendo potencialmente grave en algunos casos.</w:t>
      </w:r>
    </w:p>
    <w:p w14:paraId="110AE848" w14:textId="77777777" w:rsidR="009C09C7" w:rsidRPr="00C415A8" w:rsidRDefault="008D3C8D" w:rsidP="001C6F89">
      <w:pPr>
        <w:pBdr>
          <w:top w:val="nil"/>
          <w:left w:val="nil"/>
          <w:bottom w:val="nil"/>
          <w:right w:val="nil"/>
          <w:between w:val="nil"/>
        </w:pBdr>
        <w:spacing w:line="360" w:lineRule="auto"/>
        <w:ind w:right="382"/>
        <w:jc w:val="both"/>
        <w:rPr>
          <w:rFonts w:ascii="Century Gothic" w:eastAsia="Century Gothic" w:hAnsi="Century Gothic" w:cs="Century Gothic"/>
          <w:color w:val="000000"/>
          <w:sz w:val="24"/>
          <w:szCs w:val="24"/>
        </w:rPr>
      </w:pPr>
      <w:r w:rsidRPr="00C415A8">
        <w:rPr>
          <w:rFonts w:ascii="Century Gothic" w:eastAsia="Century Gothic" w:hAnsi="Century Gothic" w:cs="Century Gothic"/>
          <w:color w:val="000000"/>
          <w:sz w:val="24"/>
          <w:szCs w:val="24"/>
          <w:highlight w:val="white"/>
        </w:rPr>
        <w:t xml:space="preserve">Morfológicamente, la araña </w:t>
      </w:r>
      <w:r w:rsidR="00630E30" w:rsidRPr="00C415A8">
        <w:rPr>
          <w:rFonts w:ascii="Century Gothic" w:eastAsia="Century Gothic" w:hAnsi="Century Gothic" w:cs="Century Gothic"/>
          <w:color w:val="000000"/>
          <w:sz w:val="24"/>
          <w:szCs w:val="24"/>
          <w:highlight w:val="white"/>
        </w:rPr>
        <w:t xml:space="preserve">adulta </w:t>
      </w:r>
      <w:proofErr w:type="gramStart"/>
      <w:r w:rsidR="00630E30" w:rsidRPr="00C415A8">
        <w:rPr>
          <w:rFonts w:ascii="Century Gothic" w:eastAsia="Century Gothic" w:hAnsi="Century Gothic" w:cs="Century Gothic"/>
          <w:color w:val="000000"/>
          <w:sz w:val="24"/>
          <w:szCs w:val="24"/>
          <w:highlight w:val="white"/>
        </w:rPr>
        <w:t>tiene</w:t>
      </w:r>
      <w:r w:rsidR="000F52BD" w:rsidRPr="00C415A8">
        <w:rPr>
          <w:rFonts w:ascii="Century Gothic" w:eastAsia="Century Gothic" w:hAnsi="Century Gothic" w:cs="Century Gothic"/>
          <w:color w:val="000000"/>
          <w:sz w:val="24"/>
          <w:szCs w:val="24"/>
          <w:highlight w:val="white"/>
        </w:rPr>
        <w:t xml:space="preserve">  un</w:t>
      </w:r>
      <w:proofErr w:type="gramEnd"/>
      <w:r w:rsidR="000F52BD" w:rsidRPr="00C415A8">
        <w:rPr>
          <w:rFonts w:ascii="Century Gothic" w:eastAsia="Century Gothic" w:hAnsi="Century Gothic" w:cs="Century Gothic"/>
          <w:color w:val="000000"/>
          <w:sz w:val="24"/>
          <w:szCs w:val="24"/>
          <w:highlight w:val="white"/>
        </w:rPr>
        <w:t xml:space="preserve">  color  café o pardo, mide 1,5 cm de largo aproximadamente y sus patas hasta 45 </w:t>
      </w:r>
      <w:proofErr w:type="spellStart"/>
      <w:r w:rsidR="000F52BD" w:rsidRPr="00C415A8">
        <w:rPr>
          <w:rFonts w:ascii="Century Gothic" w:eastAsia="Century Gothic" w:hAnsi="Century Gothic" w:cs="Century Gothic"/>
          <w:color w:val="000000"/>
          <w:sz w:val="24"/>
          <w:szCs w:val="24"/>
          <w:highlight w:val="white"/>
        </w:rPr>
        <w:t>mm.</w:t>
      </w:r>
      <w:proofErr w:type="spellEnd"/>
      <w:r w:rsidR="000F52BD" w:rsidRPr="00C415A8">
        <w:rPr>
          <w:rFonts w:ascii="Century Gothic" w:eastAsia="Century Gothic" w:hAnsi="Century Gothic" w:cs="Century Gothic"/>
          <w:color w:val="000000"/>
          <w:sz w:val="24"/>
          <w:szCs w:val="24"/>
          <w:highlight w:val="white"/>
        </w:rPr>
        <w:t xml:space="preserve"> El cefalotórax es </w:t>
      </w:r>
      <w:r w:rsidR="000F52BD" w:rsidRPr="00C415A8">
        <w:rPr>
          <w:rFonts w:ascii="Century Gothic" w:eastAsia="Century Gothic" w:hAnsi="Century Gothic" w:cs="Century Gothic"/>
          <w:color w:val="000000"/>
          <w:sz w:val="24"/>
          <w:szCs w:val="24"/>
          <w:highlight w:val="white"/>
        </w:rPr>
        <w:lastRenderedPageBreak/>
        <w:t xml:space="preserve">de aspecto </w:t>
      </w:r>
      <w:r w:rsidRPr="00C415A8">
        <w:rPr>
          <w:rFonts w:ascii="Century Gothic" w:eastAsia="Century Gothic" w:hAnsi="Century Gothic" w:cs="Century Gothic"/>
          <w:color w:val="000000"/>
          <w:sz w:val="24"/>
          <w:szCs w:val="24"/>
          <w:highlight w:val="white"/>
        </w:rPr>
        <w:t xml:space="preserve">piriforme y </w:t>
      </w:r>
      <w:proofErr w:type="gramStart"/>
      <w:r w:rsidRPr="00C415A8">
        <w:rPr>
          <w:rFonts w:ascii="Century Gothic" w:eastAsia="Century Gothic" w:hAnsi="Century Gothic" w:cs="Century Gothic"/>
          <w:color w:val="000000"/>
          <w:sz w:val="24"/>
          <w:szCs w:val="24"/>
          <w:highlight w:val="white"/>
        </w:rPr>
        <w:t>sus</w:t>
      </w:r>
      <w:r w:rsidR="000F52BD" w:rsidRPr="00C415A8">
        <w:rPr>
          <w:rFonts w:ascii="Century Gothic" w:eastAsia="Century Gothic" w:hAnsi="Century Gothic" w:cs="Century Gothic"/>
          <w:color w:val="000000"/>
          <w:sz w:val="24"/>
          <w:szCs w:val="24"/>
          <w:highlight w:val="white"/>
        </w:rPr>
        <w:t xml:space="preserve">  ojos</w:t>
      </w:r>
      <w:proofErr w:type="gramEnd"/>
      <w:r w:rsidR="000F52BD" w:rsidRPr="00C415A8">
        <w:rPr>
          <w:rFonts w:ascii="Century Gothic" w:eastAsia="Century Gothic" w:hAnsi="Century Gothic" w:cs="Century Gothic"/>
          <w:color w:val="000000"/>
          <w:sz w:val="24"/>
          <w:szCs w:val="24"/>
          <w:highlight w:val="white"/>
        </w:rPr>
        <w:t xml:space="preserve">  están  ordenados  con  un  par  anterior y dos pares laterales, característica esencial para su </w:t>
      </w:r>
      <w:r w:rsidR="000F52BD" w:rsidRPr="00C415A8">
        <w:rPr>
          <w:rFonts w:ascii="Century Gothic" w:eastAsia="Century Gothic" w:hAnsi="Century Gothic" w:cs="Century Gothic"/>
          <w:sz w:val="24"/>
          <w:szCs w:val="24"/>
          <w:highlight w:val="white"/>
        </w:rPr>
        <w:t>clasificación.</w:t>
      </w:r>
      <w:r w:rsidR="000F52BD" w:rsidRPr="00C415A8">
        <w:rPr>
          <w:rFonts w:ascii="Century Gothic" w:eastAsia="Century Gothic" w:hAnsi="Century Gothic" w:cs="Century Gothic"/>
          <w:color w:val="000000"/>
          <w:sz w:val="24"/>
          <w:szCs w:val="24"/>
          <w:highlight w:val="white"/>
        </w:rPr>
        <w:t xml:space="preserve"> Dentro de los nombres comunes se incluyen: “araña parda”, “araña reclusa”, “araña de rincón” o “araña violinista” debido a una coloración en el cefalotórax </w:t>
      </w:r>
      <w:r w:rsidRPr="00C415A8">
        <w:rPr>
          <w:rFonts w:ascii="Century Gothic" w:eastAsia="Century Gothic" w:hAnsi="Century Gothic" w:cs="Century Gothic"/>
          <w:color w:val="000000"/>
          <w:sz w:val="24"/>
          <w:szCs w:val="24"/>
          <w:highlight w:val="white"/>
        </w:rPr>
        <w:t xml:space="preserve">que </w:t>
      </w:r>
      <w:proofErr w:type="gramStart"/>
      <w:r w:rsidRPr="00C415A8">
        <w:rPr>
          <w:rFonts w:ascii="Century Gothic" w:eastAsia="Century Gothic" w:hAnsi="Century Gothic" w:cs="Century Gothic"/>
          <w:color w:val="000000"/>
          <w:sz w:val="24"/>
          <w:szCs w:val="24"/>
          <w:highlight w:val="white"/>
        </w:rPr>
        <w:t>tiene</w:t>
      </w:r>
      <w:r w:rsidR="000F52BD" w:rsidRPr="00C415A8">
        <w:rPr>
          <w:rFonts w:ascii="Century Gothic" w:eastAsia="Century Gothic" w:hAnsi="Century Gothic" w:cs="Century Gothic"/>
          <w:color w:val="000000"/>
          <w:sz w:val="24"/>
          <w:szCs w:val="24"/>
          <w:highlight w:val="white"/>
        </w:rPr>
        <w:t xml:space="preserve">  la</w:t>
      </w:r>
      <w:proofErr w:type="gramEnd"/>
      <w:r w:rsidR="000F52BD" w:rsidRPr="00C415A8">
        <w:rPr>
          <w:rFonts w:ascii="Century Gothic" w:eastAsia="Century Gothic" w:hAnsi="Century Gothic" w:cs="Century Gothic"/>
          <w:color w:val="000000"/>
          <w:sz w:val="24"/>
          <w:szCs w:val="24"/>
          <w:highlight w:val="white"/>
        </w:rPr>
        <w:t xml:space="preserve">  apariencia  de  un  violín.  </w:t>
      </w:r>
      <w:proofErr w:type="gramStart"/>
      <w:r w:rsidR="000F52BD" w:rsidRPr="00C415A8">
        <w:rPr>
          <w:rFonts w:ascii="Century Gothic" w:eastAsia="Century Gothic" w:hAnsi="Century Gothic" w:cs="Century Gothic"/>
          <w:color w:val="000000"/>
          <w:sz w:val="24"/>
          <w:szCs w:val="24"/>
          <w:highlight w:val="white"/>
        </w:rPr>
        <w:t>Por  lo</w:t>
      </w:r>
      <w:proofErr w:type="gramEnd"/>
      <w:r w:rsidR="000F52BD" w:rsidRPr="00C415A8">
        <w:rPr>
          <w:rFonts w:ascii="Century Gothic" w:eastAsia="Century Gothic" w:hAnsi="Century Gothic" w:cs="Century Gothic"/>
          <w:color w:val="000000"/>
          <w:sz w:val="24"/>
          <w:szCs w:val="24"/>
          <w:highlight w:val="white"/>
        </w:rPr>
        <w:t xml:space="preserve">  general,  son de vida intradomiciliaria y se le puede encontrar en lugares oscuros, debajo de escombros o ladrillos, detrás  de  cuadros  en  la  pared  o  en  los  rincones.</w:t>
      </w:r>
    </w:p>
    <w:p w14:paraId="6A7DC75A" w14:textId="77777777" w:rsidR="009C09C7" w:rsidRPr="00C415A8" w:rsidRDefault="009C09C7" w:rsidP="001C6F89">
      <w:pPr>
        <w:pBdr>
          <w:top w:val="nil"/>
          <w:left w:val="nil"/>
          <w:bottom w:val="nil"/>
          <w:right w:val="nil"/>
          <w:between w:val="nil"/>
        </w:pBdr>
        <w:spacing w:line="360" w:lineRule="auto"/>
        <w:ind w:right="382"/>
        <w:jc w:val="both"/>
        <w:rPr>
          <w:rFonts w:ascii="Century Gothic" w:eastAsia="Century Gothic" w:hAnsi="Century Gothic" w:cs="Century Gothic"/>
          <w:b/>
          <w:color w:val="000000"/>
          <w:sz w:val="24"/>
          <w:szCs w:val="24"/>
        </w:rPr>
      </w:pPr>
    </w:p>
    <w:p w14:paraId="7655C68C" w14:textId="77777777" w:rsidR="009C09C7" w:rsidRPr="00C415A8" w:rsidRDefault="000F52BD" w:rsidP="001C6F89">
      <w:pPr>
        <w:pBdr>
          <w:top w:val="nil"/>
          <w:left w:val="nil"/>
          <w:bottom w:val="nil"/>
          <w:right w:val="nil"/>
          <w:between w:val="nil"/>
        </w:pBdr>
        <w:spacing w:line="360" w:lineRule="auto"/>
        <w:ind w:right="382"/>
        <w:jc w:val="both"/>
        <w:rPr>
          <w:rFonts w:ascii="Century Gothic" w:eastAsia="Century Gothic" w:hAnsi="Century Gothic" w:cs="Century Gothic"/>
          <w:b/>
          <w:color w:val="000000"/>
          <w:sz w:val="24"/>
          <w:szCs w:val="24"/>
        </w:rPr>
      </w:pPr>
      <w:r w:rsidRPr="00C415A8">
        <w:rPr>
          <w:rFonts w:ascii="Century Gothic" w:eastAsia="Century Gothic" w:hAnsi="Century Gothic" w:cs="Century Gothic"/>
          <w:b/>
          <w:color w:val="000000"/>
          <w:sz w:val="24"/>
          <w:szCs w:val="24"/>
        </w:rPr>
        <w:t>EPIDEMIOLOGÍA</w:t>
      </w:r>
    </w:p>
    <w:p w14:paraId="53AED68E" w14:textId="77777777" w:rsidR="009C09C7" w:rsidRPr="00C415A8" w:rsidRDefault="000F52BD" w:rsidP="001C6F89">
      <w:pPr>
        <w:pBdr>
          <w:top w:val="nil"/>
          <w:left w:val="nil"/>
          <w:bottom w:val="nil"/>
          <w:right w:val="nil"/>
          <w:between w:val="nil"/>
        </w:pBdr>
        <w:spacing w:after="240" w:line="360" w:lineRule="auto"/>
        <w:ind w:right="382"/>
        <w:jc w:val="both"/>
        <w:rPr>
          <w:rFonts w:ascii="Century Gothic" w:eastAsia="Century Gothic" w:hAnsi="Century Gothic" w:cs="Century Gothic"/>
          <w:b/>
          <w:color w:val="000000"/>
          <w:sz w:val="24"/>
          <w:szCs w:val="24"/>
        </w:rPr>
      </w:pPr>
      <w:r w:rsidRPr="00C415A8">
        <w:rPr>
          <w:rFonts w:ascii="Century Gothic" w:eastAsia="Century Gothic" w:hAnsi="Century Gothic" w:cs="Century Gothic"/>
          <w:color w:val="000000"/>
          <w:sz w:val="24"/>
          <w:szCs w:val="24"/>
        </w:rPr>
        <w:t xml:space="preserve">Estas arañas están distribuidas en todo el mundo y viven en contacto estrecho </w:t>
      </w:r>
      <w:r w:rsidRPr="008D3C8D">
        <w:rPr>
          <w:rFonts w:ascii="Century Gothic" w:eastAsia="Century Gothic" w:hAnsi="Century Gothic" w:cs="Century Gothic"/>
          <w:color w:val="000000"/>
          <w:sz w:val="24"/>
          <w:szCs w:val="24"/>
        </w:rPr>
        <w:t xml:space="preserve">con el hombre debido a su hábitat preferencial en viviendas de zonas urbanas. </w:t>
      </w:r>
      <w:proofErr w:type="spellStart"/>
      <w:r w:rsidRPr="008D3C8D">
        <w:rPr>
          <w:rFonts w:ascii="Century Gothic" w:eastAsia="Century Gothic" w:hAnsi="Century Gothic" w:cs="Century Gothic"/>
          <w:sz w:val="24"/>
          <w:szCs w:val="24"/>
        </w:rPr>
        <w:t>Loxosceles</w:t>
      </w:r>
      <w:proofErr w:type="spellEnd"/>
      <w:r w:rsidRPr="008D3C8D">
        <w:rPr>
          <w:rFonts w:ascii="Century Gothic" w:eastAsia="Century Gothic" w:hAnsi="Century Gothic" w:cs="Century Gothic"/>
          <w:sz w:val="24"/>
          <w:szCs w:val="24"/>
        </w:rPr>
        <w:t xml:space="preserve"> tiene una distribución </w:t>
      </w:r>
      <w:r w:rsidR="001C6F89" w:rsidRPr="008D3C8D">
        <w:rPr>
          <w:rFonts w:ascii="Century Gothic" w:eastAsia="Century Gothic" w:hAnsi="Century Gothic" w:cs="Century Gothic"/>
          <w:sz w:val="24"/>
          <w:szCs w:val="24"/>
        </w:rPr>
        <w:t>cosmopolita, aunque</w:t>
      </w:r>
      <w:r w:rsidRPr="008D3C8D">
        <w:rPr>
          <w:rFonts w:ascii="Century Gothic" w:eastAsia="Century Gothic" w:hAnsi="Century Gothic" w:cs="Century Gothic"/>
          <w:sz w:val="24"/>
          <w:szCs w:val="24"/>
        </w:rPr>
        <w:t xml:space="preserve"> de predominio sudamericano, se han descrito más de 30 especies de </w:t>
      </w:r>
      <w:proofErr w:type="spellStart"/>
      <w:r w:rsidRPr="008D3C8D">
        <w:rPr>
          <w:rFonts w:ascii="Century Gothic" w:eastAsia="Century Gothic" w:hAnsi="Century Gothic" w:cs="Century Gothic"/>
          <w:sz w:val="24"/>
          <w:szCs w:val="24"/>
        </w:rPr>
        <w:t>loxosceles</w:t>
      </w:r>
      <w:proofErr w:type="spellEnd"/>
      <w:r w:rsidRPr="008D3C8D">
        <w:rPr>
          <w:rFonts w:ascii="Century Gothic" w:eastAsia="Century Gothic" w:hAnsi="Century Gothic" w:cs="Century Gothic"/>
          <w:sz w:val="24"/>
          <w:szCs w:val="24"/>
        </w:rPr>
        <w:t xml:space="preserve"> en Sudamérica, siendo en el Perú L. </w:t>
      </w:r>
      <w:proofErr w:type="spellStart"/>
      <w:r w:rsidRPr="008D3C8D">
        <w:rPr>
          <w:rFonts w:ascii="Century Gothic" w:eastAsia="Century Gothic" w:hAnsi="Century Gothic" w:cs="Century Gothic"/>
          <w:sz w:val="24"/>
          <w:szCs w:val="24"/>
        </w:rPr>
        <w:t>laeta</w:t>
      </w:r>
      <w:proofErr w:type="spellEnd"/>
      <w:r w:rsidRPr="008D3C8D">
        <w:rPr>
          <w:rFonts w:ascii="Century Gothic" w:eastAsia="Century Gothic" w:hAnsi="Century Gothic" w:cs="Century Gothic"/>
          <w:sz w:val="24"/>
          <w:szCs w:val="24"/>
        </w:rPr>
        <w:t xml:space="preserve"> y L. </w:t>
      </w:r>
      <w:proofErr w:type="spellStart"/>
      <w:r w:rsidRPr="008D3C8D">
        <w:rPr>
          <w:rFonts w:ascii="Century Gothic" w:eastAsia="Century Gothic" w:hAnsi="Century Gothic" w:cs="Century Gothic"/>
          <w:sz w:val="24"/>
          <w:szCs w:val="24"/>
        </w:rPr>
        <w:t>rufipes</w:t>
      </w:r>
      <w:proofErr w:type="spellEnd"/>
      <w:r w:rsidRPr="008D3C8D">
        <w:rPr>
          <w:rFonts w:ascii="Century Gothic" w:eastAsia="Century Gothic" w:hAnsi="Century Gothic" w:cs="Century Gothic"/>
          <w:sz w:val="24"/>
          <w:szCs w:val="24"/>
        </w:rPr>
        <w:t xml:space="preserve">, las principales especies implicadas en los accidentes venenosos. Sin </w:t>
      </w:r>
      <w:r w:rsidR="001C6F89" w:rsidRPr="008D3C8D">
        <w:rPr>
          <w:rFonts w:ascii="Century Gothic" w:eastAsia="Century Gothic" w:hAnsi="Century Gothic" w:cs="Century Gothic"/>
          <w:sz w:val="24"/>
          <w:szCs w:val="24"/>
        </w:rPr>
        <w:t>embargo,</w:t>
      </w:r>
      <w:r w:rsidRPr="008D3C8D">
        <w:rPr>
          <w:rFonts w:ascii="Century Gothic" w:eastAsia="Century Gothic" w:hAnsi="Century Gothic" w:cs="Century Gothic"/>
          <w:sz w:val="24"/>
          <w:szCs w:val="24"/>
        </w:rPr>
        <w:t xml:space="preserve"> e</w:t>
      </w:r>
      <w:r w:rsidRPr="008D3C8D">
        <w:rPr>
          <w:rFonts w:ascii="Century Gothic" w:eastAsia="Century Gothic" w:hAnsi="Century Gothic" w:cs="Century Gothic"/>
          <w:color w:val="000000"/>
          <w:sz w:val="24"/>
          <w:szCs w:val="24"/>
        </w:rPr>
        <w:t xml:space="preserve">ste accidente se produce con mayor frecuencia por la acción de la especie </w:t>
      </w:r>
      <w:proofErr w:type="spellStart"/>
      <w:r w:rsidRPr="008D3C8D">
        <w:rPr>
          <w:rFonts w:ascii="Century Gothic" w:eastAsia="Century Gothic" w:hAnsi="Century Gothic" w:cs="Century Gothic"/>
          <w:color w:val="000000"/>
          <w:sz w:val="24"/>
          <w:szCs w:val="24"/>
        </w:rPr>
        <w:t>Loxosceles</w:t>
      </w:r>
      <w:proofErr w:type="spellEnd"/>
      <w:r w:rsidRPr="008D3C8D">
        <w:rPr>
          <w:rFonts w:ascii="Century Gothic" w:eastAsia="Century Gothic" w:hAnsi="Century Gothic" w:cs="Century Gothic"/>
          <w:color w:val="000000"/>
          <w:sz w:val="24"/>
          <w:szCs w:val="24"/>
        </w:rPr>
        <w:t xml:space="preserve"> </w:t>
      </w:r>
      <w:proofErr w:type="spellStart"/>
      <w:r w:rsidRPr="008D3C8D">
        <w:rPr>
          <w:rFonts w:ascii="Century Gothic" w:eastAsia="Century Gothic" w:hAnsi="Century Gothic" w:cs="Century Gothic"/>
          <w:color w:val="000000"/>
          <w:sz w:val="24"/>
          <w:szCs w:val="24"/>
        </w:rPr>
        <w:t>laeta</w:t>
      </w:r>
      <w:proofErr w:type="spellEnd"/>
      <w:r w:rsidRPr="008D3C8D">
        <w:rPr>
          <w:rFonts w:ascii="Century Gothic" w:eastAsia="Century Gothic" w:hAnsi="Century Gothic" w:cs="Century Gothic"/>
          <w:color w:val="000000"/>
          <w:sz w:val="24"/>
          <w:szCs w:val="24"/>
        </w:rPr>
        <w:t>. Esta especie se encuentra a menudo en zonas urbanas y suburbanas a lo largo de la costa y de la sierra, también se encuentra alrededor del mundo</w:t>
      </w:r>
      <w:r w:rsidRPr="00C415A8">
        <w:rPr>
          <w:rFonts w:ascii="Century Gothic" w:eastAsia="Century Gothic" w:hAnsi="Century Gothic" w:cs="Century Gothic"/>
          <w:color w:val="000000"/>
          <w:sz w:val="24"/>
          <w:szCs w:val="24"/>
        </w:rPr>
        <w:t>; principalmente en zonas tropicales de América, África y Europa.</w:t>
      </w:r>
    </w:p>
    <w:p w14:paraId="7569DC6D" w14:textId="77777777" w:rsidR="009C09C7" w:rsidRPr="00C415A8" w:rsidRDefault="000F52BD" w:rsidP="001C6F89">
      <w:pPr>
        <w:pStyle w:val="Ttulo3"/>
        <w:keepNext w:val="0"/>
        <w:keepLines w:val="0"/>
        <w:spacing w:before="280" w:line="360" w:lineRule="auto"/>
        <w:ind w:right="382"/>
        <w:jc w:val="both"/>
        <w:rPr>
          <w:rFonts w:ascii="Century Gothic" w:eastAsia="Century Gothic" w:hAnsi="Century Gothic" w:cs="Century Gothic"/>
          <w:b/>
          <w:color w:val="000000"/>
          <w:sz w:val="24"/>
          <w:szCs w:val="24"/>
        </w:rPr>
      </w:pPr>
      <w:bookmarkStart w:id="0" w:name="_heading=h.gjdgxs" w:colFirst="0" w:colLast="0"/>
      <w:bookmarkEnd w:id="0"/>
      <w:r w:rsidRPr="00C415A8">
        <w:rPr>
          <w:rFonts w:ascii="Century Gothic" w:eastAsia="Century Gothic" w:hAnsi="Century Gothic" w:cs="Century Gothic"/>
          <w:b/>
          <w:color w:val="000000"/>
          <w:sz w:val="24"/>
          <w:szCs w:val="24"/>
        </w:rPr>
        <w:t>FISIOPATOLOGÍA DEL LOXOSCELISMO</w:t>
      </w:r>
    </w:p>
    <w:p w14:paraId="793A2F70" w14:textId="77777777" w:rsidR="009C09C7" w:rsidRPr="008D3C8D" w:rsidRDefault="000F52BD" w:rsidP="001C6F89">
      <w:pPr>
        <w:spacing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sz w:val="24"/>
          <w:szCs w:val="24"/>
        </w:rPr>
        <w:t xml:space="preserve">El </w:t>
      </w:r>
      <w:r w:rsidRPr="008D3C8D">
        <w:rPr>
          <w:rFonts w:ascii="Century Gothic" w:eastAsia="Century Gothic" w:hAnsi="Century Gothic" w:cs="Century Gothic"/>
          <w:sz w:val="24"/>
          <w:szCs w:val="24"/>
        </w:rPr>
        <w:t xml:space="preserve">veneno de </w:t>
      </w:r>
      <w:proofErr w:type="spellStart"/>
      <w:r w:rsidRPr="008D3C8D">
        <w:rPr>
          <w:rFonts w:ascii="Century Gothic" w:eastAsia="Century Gothic" w:hAnsi="Century Gothic" w:cs="Century Gothic"/>
          <w:sz w:val="24"/>
          <w:szCs w:val="24"/>
        </w:rPr>
        <w:t>Loxosceles</w:t>
      </w:r>
      <w:proofErr w:type="spellEnd"/>
      <w:r w:rsidRPr="008D3C8D">
        <w:rPr>
          <w:rFonts w:ascii="Century Gothic" w:eastAsia="Century Gothic" w:hAnsi="Century Gothic" w:cs="Century Gothic"/>
          <w:sz w:val="24"/>
          <w:szCs w:val="24"/>
        </w:rPr>
        <w:t xml:space="preserve"> proviene de glándulas apocrinas y la cantidad es inferior comparada con la de otros arácnidos. Existen factores que modifican las características del veneno tales como el </w:t>
      </w:r>
      <w:r w:rsidR="00630E30" w:rsidRPr="008D3C8D">
        <w:rPr>
          <w:rFonts w:ascii="Century Gothic" w:eastAsia="Century Gothic" w:hAnsi="Century Gothic" w:cs="Century Gothic"/>
          <w:sz w:val="24"/>
          <w:szCs w:val="24"/>
        </w:rPr>
        <w:t>hábitat</w:t>
      </w:r>
      <w:r w:rsidRPr="008D3C8D">
        <w:rPr>
          <w:rFonts w:ascii="Century Gothic" w:eastAsia="Century Gothic" w:hAnsi="Century Gothic" w:cs="Century Gothic"/>
          <w:sz w:val="24"/>
          <w:szCs w:val="24"/>
        </w:rPr>
        <w:t xml:space="preserve">, el sexo, </w:t>
      </w:r>
      <w:r w:rsidR="001C6F89" w:rsidRPr="008D3C8D">
        <w:rPr>
          <w:rFonts w:ascii="Century Gothic" w:eastAsia="Century Gothic" w:hAnsi="Century Gothic" w:cs="Century Gothic"/>
          <w:sz w:val="24"/>
          <w:szCs w:val="24"/>
        </w:rPr>
        <w:t>edad, estado</w:t>
      </w:r>
      <w:r w:rsidRPr="008D3C8D">
        <w:rPr>
          <w:rFonts w:ascii="Century Gothic" w:eastAsia="Century Gothic" w:hAnsi="Century Gothic" w:cs="Century Gothic"/>
          <w:sz w:val="24"/>
          <w:szCs w:val="24"/>
        </w:rPr>
        <w:t xml:space="preserve"> fisiológico y la alimentación de la araña. </w:t>
      </w:r>
    </w:p>
    <w:p w14:paraId="483AE6FB" w14:textId="77777777" w:rsidR="009C09C7" w:rsidRPr="008D3C8D" w:rsidRDefault="000F52BD" w:rsidP="001C6F89">
      <w:pPr>
        <w:spacing w:before="240" w:after="240" w:line="360" w:lineRule="auto"/>
        <w:ind w:right="382"/>
        <w:jc w:val="both"/>
        <w:rPr>
          <w:rFonts w:ascii="Century Gothic" w:eastAsia="Century Gothic" w:hAnsi="Century Gothic" w:cs="Century Gothic"/>
          <w:sz w:val="24"/>
          <w:szCs w:val="24"/>
        </w:rPr>
      </w:pPr>
      <w:r w:rsidRPr="008D3C8D">
        <w:rPr>
          <w:rFonts w:ascii="Century Gothic" w:eastAsia="Century Gothic" w:hAnsi="Century Gothic" w:cs="Century Gothic"/>
          <w:sz w:val="24"/>
          <w:szCs w:val="24"/>
        </w:rPr>
        <w:t xml:space="preserve">El veneno contiene varias enzimas y toxinas, teniendo mayor actividad en el humano la </w:t>
      </w:r>
      <w:proofErr w:type="spellStart"/>
      <w:r w:rsidRPr="008D3C8D">
        <w:rPr>
          <w:rFonts w:ascii="Century Gothic" w:eastAsia="Century Gothic" w:hAnsi="Century Gothic" w:cs="Century Gothic"/>
          <w:sz w:val="24"/>
          <w:szCs w:val="24"/>
        </w:rPr>
        <w:t>esfingomielinasa</w:t>
      </w:r>
      <w:proofErr w:type="spellEnd"/>
      <w:r w:rsidRPr="008D3C8D">
        <w:rPr>
          <w:rFonts w:ascii="Century Gothic" w:eastAsia="Century Gothic" w:hAnsi="Century Gothic" w:cs="Century Gothic"/>
          <w:sz w:val="24"/>
          <w:szCs w:val="24"/>
        </w:rPr>
        <w:t xml:space="preserve"> D y la hialuronidasa. La primera es una enzima que desencadena efectos hemolíticos, con activación del complemento y quimiotaxis de polimorfonucleares y plaquetas, induce la liberación de E selectinas relacionadas con el proceso inflamatorio </w:t>
      </w:r>
      <w:r w:rsidRPr="008D3C8D">
        <w:rPr>
          <w:rFonts w:ascii="Century Gothic" w:eastAsia="Century Gothic" w:hAnsi="Century Gothic" w:cs="Century Gothic"/>
          <w:sz w:val="24"/>
          <w:szCs w:val="24"/>
        </w:rPr>
        <w:lastRenderedPageBreak/>
        <w:t>vascular. La acción de la hialuronidasa lesiona la membrana basal de los tejidos con la consiguiente progresión y extensión de la lesión.</w:t>
      </w:r>
    </w:p>
    <w:p w14:paraId="16BBF870" w14:textId="77777777" w:rsidR="009C09C7" w:rsidRPr="00C415A8" w:rsidRDefault="000F52BD" w:rsidP="001C6F89">
      <w:pPr>
        <w:spacing w:before="240" w:after="240" w:line="360" w:lineRule="auto"/>
        <w:ind w:right="382"/>
        <w:jc w:val="both"/>
        <w:rPr>
          <w:rFonts w:ascii="Century Gothic" w:eastAsia="Century Gothic" w:hAnsi="Century Gothic" w:cs="Century Gothic"/>
          <w:sz w:val="24"/>
          <w:szCs w:val="24"/>
        </w:rPr>
      </w:pPr>
      <w:r w:rsidRPr="008D3C8D">
        <w:rPr>
          <w:rFonts w:ascii="Century Gothic" w:eastAsia="Century Gothic" w:hAnsi="Century Gothic" w:cs="Century Gothic"/>
          <w:sz w:val="24"/>
          <w:szCs w:val="24"/>
        </w:rPr>
        <w:t xml:space="preserve">Existen otras proteínas presentes en el veneno como fosfatasa alcalina, proteasas, metaloproteinasas, proteinasas de serina, </w:t>
      </w:r>
      <w:proofErr w:type="spellStart"/>
      <w:r w:rsidRPr="008D3C8D">
        <w:rPr>
          <w:rFonts w:ascii="Century Gothic" w:eastAsia="Century Gothic" w:hAnsi="Century Gothic" w:cs="Century Gothic"/>
          <w:sz w:val="24"/>
          <w:szCs w:val="24"/>
        </w:rPr>
        <w:t>enterasa</w:t>
      </w:r>
      <w:proofErr w:type="spellEnd"/>
      <w:r w:rsidRPr="008D3C8D">
        <w:rPr>
          <w:rFonts w:ascii="Century Gothic" w:eastAsia="Century Gothic" w:hAnsi="Century Gothic" w:cs="Century Gothic"/>
          <w:sz w:val="24"/>
          <w:szCs w:val="24"/>
        </w:rPr>
        <w:t xml:space="preserve">, colagenasa, ribonucleasa, </w:t>
      </w:r>
      <w:proofErr w:type="spellStart"/>
      <w:r w:rsidRPr="008D3C8D">
        <w:rPr>
          <w:rFonts w:ascii="Century Gothic" w:eastAsia="Century Gothic" w:hAnsi="Century Gothic" w:cs="Century Gothic"/>
          <w:sz w:val="24"/>
          <w:szCs w:val="24"/>
        </w:rPr>
        <w:t>desoxiribonucleasa</w:t>
      </w:r>
      <w:proofErr w:type="spellEnd"/>
      <w:r w:rsidRPr="008D3C8D">
        <w:rPr>
          <w:rFonts w:ascii="Century Gothic" w:eastAsia="Century Gothic" w:hAnsi="Century Gothic" w:cs="Century Gothic"/>
          <w:sz w:val="24"/>
          <w:szCs w:val="24"/>
        </w:rPr>
        <w:t xml:space="preserve"> y ATPasa. Por otra parta la inoculación del veneno también desencadena la liberación de mediadores</w:t>
      </w:r>
      <w:r w:rsidRPr="00C415A8">
        <w:rPr>
          <w:rFonts w:ascii="Century Gothic" w:eastAsia="Century Gothic" w:hAnsi="Century Gothic" w:cs="Century Gothic"/>
          <w:sz w:val="24"/>
          <w:szCs w:val="24"/>
        </w:rPr>
        <w:t xml:space="preserve"> químicos relacionados con el cuadro clínico. Interleucina 6,8 y 10; </w:t>
      </w:r>
      <w:r w:rsidR="001C6F89" w:rsidRPr="00C415A8">
        <w:rPr>
          <w:rFonts w:ascii="Century Gothic" w:eastAsia="Century Gothic" w:hAnsi="Century Gothic" w:cs="Century Gothic"/>
          <w:sz w:val="24"/>
          <w:szCs w:val="24"/>
        </w:rPr>
        <w:t>óxido</w:t>
      </w:r>
      <w:r w:rsidRPr="00C415A8">
        <w:rPr>
          <w:rFonts w:ascii="Century Gothic" w:eastAsia="Century Gothic" w:hAnsi="Century Gothic" w:cs="Century Gothic"/>
          <w:sz w:val="24"/>
          <w:szCs w:val="24"/>
        </w:rPr>
        <w:t xml:space="preserve"> nítrico, FNT, factores estimulantes de colonias de macrófagos y granulocitos (GMC-SF).</w:t>
      </w:r>
    </w:p>
    <w:p w14:paraId="44369E94" w14:textId="77777777" w:rsidR="00630E30" w:rsidRPr="00C415A8" w:rsidRDefault="000F52BD" w:rsidP="001C6F89">
      <w:pPr>
        <w:spacing w:before="240" w:after="240"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sz w:val="24"/>
          <w:szCs w:val="24"/>
        </w:rPr>
        <w:t xml:space="preserve">La </w:t>
      </w:r>
      <w:proofErr w:type="spellStart"/>
      <w:r w:rsidRPr="00C415A8">
        <w:rPr>
          <w:rFonts w:ascii="Century Gothic" w:eastAsia="Century Gothic" w:hAnsi="Century Gothic" w:cs="Century Gothic"/>
          <w:sz w:val="24"/>
          <w:szCs w:val="24"/>
        </w:rPr>
        <w:t>dermonecrosis</w:t>
      </w:r>
      <w:proofErr w:type="spellEnd"/>
      <w:r w:rsidRPr="00C415A8">
        <w:rPr>
          <w:rFonts w:ascii="Century Gothic" w:eastAsia="Century Gothic" w:hAnsi="Century Gothic" w:cs="Century Gothic"/>
          <w:sz w:val="24"/>
          <w:szCs w:val="24"/>
        </w:rPr>
        <w:t xml:space="preserve"> propia de la clínica de </w:t>
      </w:r>
      <w:proofErr w:type="spellStart"/>
      <w:r w:rsidRPr="00C415A8">
        <w:rPr>
          <w:rFonts w:ascii="Century Gothic" w:eastAsia="Century Gothic" w:hAnsi="Century Gothic" w:cs="Century Gothic"/>
          <w:sz w:val="24"/>
          <w:szCs w:val="24"/>
        </w:rPr>
        <w:t>loxoscelismo</w:t>
      </w:r>
      <w:proofErr w:type="spellEnd"/>
      <w:r w:rsidRPr="00C415A8">
        <w:rPr>
          <w:rFonts w:ascii="Century Gothic" w:eastAsia="Century Gothic" w:hAnsi="Century Gothic" w:cs="Century Gothic"/>
          <w:sz w:val="24"/>
          <w:szCs w:val="24"/>
        </w:rPr>
        <w:t xml:space="preserve"> está íntimamente relacionada con la liberación de polimorfonucleares y activación del complemento. La hemólisis por acción de </w:t>
      </w:r>
      <w:proofErr w:type="spellStart"/>
      <w:r w:rsidRPr="00C415A8">
        <w:rPr>
          <w:rFonts w:ascii="Century Gothic" w:eastAsia="Century Gothic" w:hAnsi="Century Gothic" w:cs="Century Gothic"/>
          <w:sz w:val="24"/>
          <w:szCs w:val="24"/>
        </w:rPr>
        <w:t>esfingomielinasa</w:t>
      </w:r>
      <w:proofErr w:type="spellEnd"/>
      <w:r w:rsidRPr="00C415A8">
        <w:rPr>
          <w:rFonts w:ascii="Century Gothic" w:eastAsia="Century Gothic" w:hAnsi="Century Gothic" w:cs="Century Gothic"/>
          <w:sz w:val="24"/>
          <w:szCs w:val="24"/>
        </w:rPr>
        <w:t xml:space="preserve"> D sobre la esfingomielina presente en los eritrocitos desencadena daño celular sistémico, isquemia de arteriolas aferentes renales, insuficiencia renal aguda (IRA) secundaria a </w:t>
      </w:r>
      <w:proofErr w:type="spellStart"/>
      <w:r w:rsidRPr="00C415A8">
        <w:rPr>
          <w:rFonts w:ascii="Century Gothic" w:eastAsia="Century Gothic" w:hAnsi="Century Gothic" w:cs="Century Gothic"/>
          <w:sz w:val="24"/>
          <w:szCs w:val="24"/>
        </w:rPr>
        <w:t>rabdomiolisis</w:t>
      </w:r>
      <w:proofErr w:type="spellEnd"/>
      <w:r w:rsidRPr="00C415A8">
        <w:rPr>
          <w:rFonts w:ascii="Century Gothic" w:eastAsia="Century Gothic" w:hAnsi="Century Gothic" w:cs="Century Gothic"/>
          <w:sz w:val="24"/>
          <w:szCs w:val="24"/>
        </w:rPr>
        <w:t xml:space="preserve"> y coagulación intravascular diseminada (CID)</w:t>
      </w:r>
      <w:r w:rsidR="00630E30">
        <w:rPr>
          <w:rFonts w:ascii="Century Gothic" w:eastAsia="Century Gothic" w:hAnsi="Century Gothic" w:cs="Century Gothic"/>
          <w:sz w:val="24"/>
          <w:szCs w:val="24"/>
        </w:rPr>
        <w:t>.</w:t>
      </w:r>
    </w:p>
    <w:p w14:paraId="7E6E6EF3" w14:textId="77777777" w:rsidR="009C09C7" w:rsidRPr="00C415A8" w:rsidRDefault="000F52BD" w:rsidP="001C6F89">
      <w:pPr>
        <w:tabs>
          <w:tab w:val="left" w:pos="993"/>
        </w:tabs>
        <w:spacing w:before="240" w:line="360" w:lineRule="auto"/>
        <w:ind w:right="382"/>
        <w:jc w:val="both"/>
        <w:rPr>
          <w:rFonts w:ascii="Century Gothic" w:eastAsia="Century Gothic" w:hAnsi="Century Gothic" w:cs="Century Gothic"/>
          <w:sz w:val="24"/>
          <w:szCs w:val="24"/>
        </w:rPr>
      </w:pPr>
      <w:r w:rsidRPr="00630E30">
        <w:rPr>
          <w:rFonts w:ascii="Century Gothic" w:eastAsia="Century Gothic" w:hAnsi="Century Gothic" w:cs="Century Gothic"/>
          <w:bCs/>
          <w:sz w:val="24"/>
          <w:szCs w:val="24"/>
        </w:rPr>
        <w:t xml:space="preserve">El daño local dado por la </w:t>
      </w:r>
      <w:proofErr w:type="spellStart"/>
      <w:r w:rsidRPr="00630E30">
        <w:rPr>
          <w:rFonts w:ascii="Century Gothic" w:eastAsia="Century Gothic" w:hAnsi="Century Gothic" w:cs="Century Gothic"/>
          <w:bCs/>
          <w:sz w:val="24"/>
          <w:szCs w:val="24"/>
        </w:rPr>
        <w:t>esfingomielinasa</w:t>
      </w:r>
      <w:proofErr w:type="spellEnd"/>
      <w:r w:rsidRPr="00630E30">
        <w:rPr>
          <w:rFonts w:ascii="Century Gothic" w:eastAsia="Century Gothic" w:hAnsi="Century Gothic" w:cs="Century Gothic"/>
          <w:bCs/>
          <w:sz w:val="24"/>
          <w:szCs w:val="24"/>
        </w:rPr>
        <w:t xml:space="preserve"> D causa destrucción de los tejidos (dermis y epidermis), iniciando un proceso de necrosis en el área de la mordedura. Además, induce inflamación, vasculitis y, en algunos casos, trombosis local. Mientras que la reacción sistémica está presente en casos graves, el veneno se disemina y afecta órganos distantes. La toxina puede desencadenar hemólisis, daño</w:t>
      </w:r>
      <w:r w:rsidRPr="00C415A8">
        <w:rPr>
          <w:rFonts w:ascii="Century Gothic" w:eastAsia="Century Gothic" w:hAnsi="Century Gothic" w:cs="Century Gothic"/>
          <w:sz w:val="24"/>
          <w:szCs w:val="24"/>
        </w:rPr>
        <w:t xml:space="preserve"> renal, CID y en raras ocasiones, fallo multiorgánico.</w:t>
      </w:r>
    </w:p>
    <w:p w14:paraId="6DA362A6" w14:textId="77777777" w:rsidR="009C09C7" w:rsidRPr="00C415A8" w:rsidRDefault="000F52BD" w:rsidP="001C6F89">
      <w:pPr>
        <w:pStyle w:val="Ttulo3"/>
        <w:keepNext w:val="0"/>
        <w:keepLines w:val="0"/>
        <w:spacing w:before="280" w:line="360" w:lineRule="auto"/>
        <w:ind w:right="382"/>
        <w:jc w:val="both"/>
        <w:rPr>
          <w:rFonts w:ascii="Century Gothic" w:eastAsia="Century Gothic" w:hAnsi="Century Gothic" w:cs="Century Gothic"/>
          <w:b/>
          <w:color w:val="000000"/>
          <w:sz w:val="24"/>
          <w:szCs w:val="24"/>
        </w:rPr>
      </w:pPr>
      <w:bookmarkStart w:id="1" w:name="_heading=h.30j0zll" w:colFirst="0" w:colLast="0"/>
      <w:bookmarkEnd w:id="1"/>
      <w:r w:rsidRPr="00C415A8">
        <w:rPr>
          <w:rFonts w:ascii="Century Gothic" w:eastAsia="Century Gothic" w:hAnsi="Century Gothic" w:cs="Century Gothic"/>
          <w:b/>
          <w:color w:val="000000"/>
          <w:sz w:val="24"/>
          <w:szCs w:val="24"/>
        </w:rPr>
        <w:t>CLASIFICACIÓN DEL LOXOSCELISMO</w:t>
      </w:r>
    </w:p>
    <w:p w14:paraId="300C7C9B" w14:textId="77777777" w:rsidR="009C09C7" w:rsidRPr="008D3C8D" w:rsidRDefault="000F52BD" w:rsidP="001C6F89">
      <w:pPr>
        <w:spacing w:before="240" w:after="240" w:line="360" w:lineRule="auto"/>
        <w:ind w:right="382"/>
        <w:jc w:val="both"/>
        <w:rPr>
          <w:rFonts w:ascii="Century Gothic" w:eastAsia="Century Gothic" w:hAnsi="Century Gothic" w:cs="Century Gothic"/>
          <w:sz w:val="24"/>
          <w:szCs w:val="24"/>
        </w:rPr>
      </w:pPr>
      <w:r w:rsidRPr="00630E30">
        <w:rPr>
          <w:rFonts w:ascii="Century Gothic" w:eastAsia="Century Gothic" w:hAnsi="Century Gothic" w:cs="Century Gothic"/>
          <w:bCs/>
          <w:sz w:val="24"/>
          <w:szCs w:val="24"/>
        </w:rPr>
        <w:t xml:space="preserve">El </w:t>
      </w:r>
      <w:proofErr w:type="spellStart"/>
      <w:r w:rsidRPr="00630E30">
        <w:rPr>
          <w:rFonts w:ascii="Century Gothic" w:eastAsia="Century Gothic" w:hAnsi="Century Gothic" w:cs="Century Gothic"/>
          <w:bCs/>
          <w:sz w:val="24"/>
          <w:szCs w:val="24"/>
        </w:rPr>
        <w:t>loxoscelismo</w:t>
      </w:r>
      <w:proofErr w:type="spellEnd"/>
      <w:r w:rsidRPr="00630E30">
        <w:rPr>
          <w:rFonts w:ascii="Century Gothic" w:eastAsia="Century Gothic" w:hAnsi="Century Gothic" w:cs="Century Gothic"/>
          <w:bCs/>
          <w:sz w:val="24"/>
          <w:szCs w:val="24"/>
        </w:rPr>
        <w:t xml:space="preserve"> cutáneo, es la</w:t>
      </w:r>
      <w:r w:rsidRPr="00C415A8">
        <w:rPr>
          <w:rFonts w:ascii="Century Gothic" w:eastAsia="Century Gothic" w:hAnsi="Century Gothic" w:cs="Century Gothic"/>
          <w:sz w:val="24"/>
          <w:szCs w:val="24"/>
        </w:rPr>
        <w:t xml:space="preserve"> forma más común y afecta principalmente la </w:t>
      </w:r>
      <w:r w:rsidRPr="008D3C8D">
        <w:rPr>
          <w:rFonts w:ascii="Century Gothic" w:eastAsia="Century Gothic" w:hAnsi="Century Gothic" w:cs="Century Gothic"/>
          <w:sz w:val="24"/>
          <w:szCs w:val="24"/>
        </w:rPr>
        <w:t xml:space="preserve">piel en el sitio de la mordedura. </w:t>
      </w:r>
    </w:p>
    <w:p w14:paraId="6A151B5A" w14:textId="77777777" w:rsidR="009C09C7" w:rsidRPr="008D3C8D" w:rsidRDefault="000F52BD" w:rsidP="001C6F89">
      <w:pPr>
        <w:spacing w:before="240" w:after="240" w:line="360" w:lineRule="auto"/>
        <w:ind w:right="382"/>
        <w:jc w:val="both"/>
        <w:rPr>
          <w:rFonts w:ascii="Century Gothic" w:eastAsia="Century Gothic" w:hAnsi="Century Gothic" w:cs="Century Gothic"/>
          <w:sz w:val="24"/>
          <w:szCs w:val="24"/>
        </w:rPr>
      </w:pPr>
      <w:r w:rsidRPr="008D3C8D">
        <w:rPr>
          <w:rFonts w:ascii="Century Gothic" w:eastAsia="Century Gothic" w:hAnsi="Century Gothic" w:cs="Century Gothic"/>
          <w:sz w:val="24"/>
          <w:szCs w:val="24"/>
        </w:rPr>
        <w:t xml:space="preserve">Inicia con una sensación de lancetazo en el momento de la mordedura acompañado generalmente de dolor que puede ser intenso, prurito local </w:t>
      </w:r>
      <w:r w:rsidRPr="008D3C8D">
        <w:rPr>
          <w:rFonts w:ascii="Century Gothic" w:eastAsia="Century Gothic" w:hAnsi="Century Gothic" w:cs="Century Gothic"/>
          <w:sz w:val="24"/>
          <w:szCs w:val="24"/>
        </w:rPr>
        <w:lastRenderedPageBreak/>
        <w:t xml:space="preserve">o generalizado, insomnio, etc. Después de 30-60 min se produce eritema, edema leve a moderado, malestar general acompañado de fiebre que desaparece a las 24 a 48h. A partir del segundo día a más aparecen flictenas con contenido </w:t>
      </w:r>
      <w:proofErr w:type="spellStart"/>
      <w:r w:rsidRPr="008D3C8D">
        <w:rPr>
          <w:rFonts w:ascii="Century Gothic" w:eastAsia="Century Gothic" w:hAnsi="Century Gothic" w:cs="Century Gothic"/>
          <w:sz w:val="24"/>
          <w:szCs w:val="24"/>
        </w:rPr>
        <w:t>sero</w:t>
      </w:r>
      <w:proofErr w:type="spellEnd"/>
      <w:r w:rsidRPr="008D3C8D">
        <w:rPr>
          <w:rFonts w:ascii="Century Gothic" w:eastAsia="Century Gothic" w:hAnsi="Century Gothic" w:cs="Century Gothic"/>
          <w:sz w:val="24"/>
          <w:szCs w:val="24"/>
        </w:rPr>
        <w:t>-sanguinolento que posteriormente se reabsorbe dejando una escara que puede o no infectarse. Esta última lesión demora semanas o meses en cicatrizar</w:t>
      </w:r>
    </w:p>
    <w:p w14:paraId="46C72BC1" w14:textId="77777777" w:rsidR="009C09C7" w:rsidRPr="00630E30" w:rsidRDefault="000F52BD" w:rsidP="001C6F89">
      <w:pPr>
        <w:spacing w:before="240" w:line="360" w:lineRule="auto"/>
        <w:ind w:right="382"/>
        <w:jc w:val="both"/>
        <w:rPr>
          <w:rFonts w:ascii="Century Gothic" w:eastAsia="Century Gothic" w:hAnsi="Century Gothic" w:cs="Century Gothic"/>
          <w:sz w:val="24"/>
          <w:szCs w:val="24"/>
        </w:rPr>
      </w:pPr>
      <w:r w:rsidRPr="008D3C8D">
        <w:rPr>
          <w:rFonts w:ascii="Century Gothic" w:eastAsia="Century Gothic" w:hAnsi="Century Gothic" w:cs="Century Gothic"/>
          <w:sz w:val="24"/>
          <w:szCs w:val="24"/>
        </w:rPr>
        <w:t xml:space="preserve">Dentro del </w:t>
      </w:r>
      <w:proofErr w:type="spellStart"/>
      <w:r w:rsidRPr="008D3C8D">
        <w:rPr>
          <w:rFonts w:ascii="Century Gothic" w:eastAsia="Century Gothic" w:hAnsi="Century Gothic" w:cs="Century Gothic"/>
          <w:sz w:val="24"/>
          <w:szCs w:val="24"/>
        </w:rPr>
        <w:t>loxoscelismo</w:t>
      </w:r>
      <w:proofErr w:type="spellEnd"/>
      <w:r w:rsidRPr="008D3C8D">
        <w:rPr>
          <w:rFonts w:ascii="Century Gothic" w:eastAsia="Century Gothic" w:hAnsi="Century Gothic" w:cs="Century Gothic"/>
          <w:sz w:val="24"/>
          <w:szCs w:val="24"/>
        </w:rPr>
        <w:t xml:space="preserve"> cutáneo tenemos otra clasificación. Cutáneo edematoso, este se caracteriza por edema, eritema y dolor local. Generalmente es una lesión leve y no evoluciona a necrosis y cutáneo necrótico que es la forma grave del </w:t>
      </w:r>
      <w:proofErr w:type="spellStart"/>
      <w:r w:rsidRPr="008D3C8D">
        <w:rPr>
          <w:rFonts w:ascii="Century Gothic" w:eastAsia="Century Gothic" w:hAnsi="Century Gothic" w:cs="Century Gothic"/>
          <w:sz w:val="24"/>
          <w:szCs w:val="24"/>
        </w:rPr>
        <w:t>loxoscelismo</w:t>
      </w:r>
      <w:proofErr w:type="spellEnd"/>
      <w:r w:rsidRPr="008D3C8D">
        <w:rPr>
          <w:rFonts w:ascii="Century Gothic" w:eastAsia="Century Gothic" w:hAnsi="Century Gothic" w:cs="Century Gothic"/>
          <w:sz w:val="24"/>
          <w:szCs w:val="24"/>
        </w:rPr>
        <w:t xml:space="preserve"> cutáneo, en la que</w:t>
      </w:r>
      <w:r w:rsidRPr="00C415A8">
        <w:rPr>
          <w:rFonts w:ascii="Century Gothic" w:eastAsia="Century Gothic" w:hAnsi="Century Gothic" w:cs="Century Gothic"/>
          <w:sz w:val="24"/>
          <w:szCs w:val="24"/>
        </w:rPr>
        <w:t xml:space="preserve"> se </w:t>
      </w:r>
      <w:r w:rsidRPr="00630E30">
        <w:rPr>
          <w:rFonts w:ascii="Century Gothic" w:eastAsia="Century Gothic" w:hAnsi="Century Gothic" w:cs="Century Gothic"/>
          <w:sz w:val="24"/>
          <w:szCs w:val="24"/>
        </w:rPr>
        <w:t>produce necrosis del tejido. Suele evolucionar hacia una úlcera de difícil cicatrización.</w:t>
      </w:r>
    </w:p>
    <w:p w14:paraId="61E65FB5" w14:textId="77777777" w:rsidR="009C09C7" w:rsidRPr="00630E30" w:rsidRDefault="000F52BD" w:rsidP="001C6F89">
      <w:pPr>
        <w:spacing w:line="360" w:lineRule="auto"/>
        <w:ind w:right="382"/>
        <w:jc w:val="both"/>
        <w:rPr>
          <w:rFonts w:ascii="Century Gothic" w:eastAsia="Century Gothic" w:hAnsi="Century Gothic" w:cs="Century Gothic"/>
          <w:sz w:val="24"/>
          <w:szCs w:val="24"/>
        </w:rPr>
      </w:pPr>
      <w:r w:rsidRPr="00630E30">
        <w:rPr>
          <w:rFonts w:ascii="Century Gothic" w:eastAsia="Century Gothic" w:hAnsi="Century Gothic" w:cs="Century Gothic"/>
          <w:sz w:val="24"/>
          <w:szCs w:val="24"/>
        </w:rPr>
        <w:t xml:space="preserve">La mordedura como síntoma suele ser indolora al principio, pero dentro de las primeras 6-12 horas aparecen eritema, edema y dolor en el área afectada. La lesión característica es una placa eritematosa, dolorosa con áreas centrales que se vuelven violáceas y, posteriormente, necróticas. Esta lesión puede progresar a una úlcera, conocida como “placa </w:t>
      </w:r>
      <w:proofErr w:type="spellStart"/>
      <w:r w:rsidRPr="00630E30">
        <w:rPr>
          <w:rFonts w:ascii="Century Gothic" w:eastAsia="Century Gothic" w:hAnsi="Century Gothic" w:cs="Century Gothic"/>
          <w:sz w:val="24"/>
          <w:szCs w:val="24"/>
        </w:rPr>
        <w:t>livedoide</w:t>
      </w:r>
      <w:proofErr w:type="spellEnd"/>
      <w:r w:rsidRPr="00630E30">
        <w:rPr>
          <w:rFonts w:ascii="Century Gothic" w:eastAsia="Century Gothic" w:hAnsi="Century Gothic" w:cs="Century Gothic"/>
          <w:sz w:val="24"/>
          <w:szCs w:val="24"/>
        </w:rPr>
        <w:t xml:space="preserve">”. Puede acompañarse de fiebre, malestar general, </w:t>
      </w:r>
      <w:proofErr w:type="spellStart"/>
      <w:r w:rsidRPr="00630E30">
        <w:rPr>
          <w:rFonts w:ascii="Century Gothic" w:eastAsia="Century Gothic" w:hAnsi="Century Gothic" w:cs="Century Gothic"/>
          <w:sz w:val="24"/>
          <w:szCs w:val="24"/>
        </w:rPr>
        <w:t>linfadenopatía</w:t>
      </w:r>
      <w:proofErr w:type="spellEnd"/>
      <w:r w:rsidRPr="00630E30">
        <w:rPr>
          <w:rFonts w:ascii="Century Gothic" w:eastAsia="Century Gothic" w:hAnsi="Century Gothic" w:cs="Century Gothic"/>
          <w:sz w:val="24"/>
          <w:szCs w:val="24"/>
        </w:rPr>
        <w:t xml:space="preserve"> regional como sintomatología adicional.</w:t>
      </w:r>
    </w:p>
    <w:p w14:paraId="5DF27F5D" w14:textId="77777777" w:rsidR="009C09C7" w:rsidRDefault="000F52BD" w:rsidP="001C6F89">
      <w:pPr>
        <w:spacing w:after="240" w:line="360" w:lineRule="auto"/>
        <w:ind w:right="382"/>
        <w:jc w:val="both"/>
        <w:rPr>
          <w:rFonts w:ascii="Century Gothic" w:eastAsia="Century Gothic" w:hAnsi="Century Gothic" w:cs="Century Gothic"/>
          <w:sz w:val="24"/>
          <w:szCs w:val="24"/>
        </w:rPr>
      </w:pPr>
      <w:r w:rsidRPr="00630E30">
        <w:rPr>
          <w:rFonts w:ascii="Century Gothic" w:eastAsia="Century Gothic" w:hAnsi="Century Gothic" w:cs="Century Gothic"/>
          <w:sz w:val="24"/>
          <w:szCs w:val="24"/>
        </w:rPr>
        <w:t xml:space="preserve">El </w:t>
      </w:r>
      <w:proofErr w:type="spellStart"/>
      <w:r w:rsidRPr="00630E30">
        <w:rPr>
          <w:rFonts w:ascii="Century Gothic" w:eastAsia="Century Gothic" w:hAnsi="Century Gothic" w:cs="Century Gothic"/>
          <w:sz w:val="24"/>
          <w:szCs w:val="24"/>
        </w:rPr>
        <w:t>loxoscelismo</w:t>
      </w:r>
      <w:proofErr w:type="spellEnd"/>
      <w:r w:rsidRPr="00630E30">
        <w:rPr>
          <w:rFonts w:ascii="Century Gothic" w:eastAsia="Century Gothic" w:hAnsi="Century Gothic" w:cs="Century Gothic"/>
          <w:sz w:val="24"/>
          <w:szCs w:val="24"/>
        </w:rPr>
        <w:t xml:space="preserve"> cutáneo-visceral, mejor </w:t>
      </w:r>
      <w:proofErr w:type="gramStart"/>
      <w:r w:rsidRPr="00630E30">
        <w:rPr>
          <w:rFonts w:ascii="Century Gothic" w:eastAsia="Century Gothic" w:hAnsi="Century Gothic" w:cs="Century Gothic"/>
          <w:sz w:val="24"/>
          <w:szCs w:val="24"/>
        </w:rPr>
        <w:t>conocido  como</w:t>
      </w:r>
      <w:proofErr w:type="gramEnd"/>
      <w:r w:rsidRPr="00630E30">
        <w:rPr>
          <w:rFonts w:ascii="Century Gothic" w:eastAsia="Century Gothic" w:hAnsi="Century Gothic" w:cs="Century Gothic"/>
          <w:sz w:val="24"/>
          <w:szCs w:val="24"/>
        </w:rPr>
        <w:t xml:space="preserve"> sistémico, representa la forma más grave y menos frecuente, en la que la toxina se disemina a través </w:t>
      </w:r>
      <w:r w:rsidRPr="00C415A8">
        <w:rPr>
          <w:rFonts w:ascii="Century Gothic" w:eastAsia="Century Gothic" w:hAnsi="Century Gothic" w:cs="Century Gothic"/>
          <w:sz w:val="24"/>
          <w:szCs w:val="24"/>
        </w:rPr>
        <w:t xml:space="preserve">del torrente sanguíneo, afectando órganos distantes. Además de las manifestaciones señaladas en </w:t>
      </w:r>
      <w:proofErr w:type="spellStart"/>
      <w:r w:rsidRPr="00C415A8">
        <w:rPr>
          <w:rFonts w:ascii="Century Gothic" w:eastAsia="Century Gothic" w:hAnsi="Century Gothic" w:cs="Century Gothic"/>
          <w:sz w:val="24"/>
          <w:szCs w:val="24"/>
        </w:rPr>
        <w:t>loxoscelismo</w:t>
      </w:r>
      <w:proofErr w:type="spellEnd"/>
      <w:r w:rsidRPr="00C415A8">
        <w:rPr>
          <w:rFonts w:ascii="Century Gothic" w:eastAsia="Century Gothic" w:hAnsi="Century Gothic" w:cs="Century Gothic"/>
          <w:sz w:val="24"/>
          <w:szCs w:val="24"/>
        </w:rPr>
        <w:t xml:space="preserve"> cutáneo aquí son seguidas precozmente de malestar general, anemia, náuseas, vómitos, cefalea, hipertermia, sudoración profusa, ictericia y compromiso del sistema nervioso central.  Antes que la lesión cutánea alcance su completa evolución puede producirse la muerte dentro de las 48 a 96 h por complicaciones debidas a IRA, acidosis metabólica, trastornos electrolíticos y sepsis.</w:t>
      </w:r>
    </w:p>
    <w:p w14:paraId="3B0D001B" w14:textId="77777777" w:rsidR="001C6F89" w:rsidRPr="00C415A8" w:rsidRDefault="001C6F89" w:rsidP="001C6F89">
      <w:pPr>
        <w:spacing w:after="240" w:line="360" w:lineRule="auto"/>
        <w:ind w:right="382"/>
        <w:jc w:val="both"/>
        <w:rPr>
          <w:rFonts w:ascii="Century Gothic" w:eastAsia="Century Gothic" w:hAnsi="Century Gothic" w:cs="Century Gothic"/>
          <w:sz w:val="24"/>
          <w:szCs w:val="24"/>
        </w:rPr>
      </w:pPr>
    </w:p>
    <w:p w14:paraId="7CC9E62B" w14:textId="77777777" w:rsidR="009C09C7" w:rsidRPr="00C415A8"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r w:rsidRPr="00C415A8">
        <w:rPr>
          <w:rFonts w:ascii="Century Gothic" w:eastAsia="Century Gothic" w:hAnsi="Century Gothic" w:cs="Century Gothic"/>
          <w:b/>
          <w:color w:val="000000"/>
          <w:sz w:val="24"/>
          <w:szCs w:val="24"/>
        </w:rPr>
        <w:lastRenderedPageBreak/>
        <w:t>DIAGNÓSTICO</w:t>
      </w:r>
    </w:p>
    <w:p w14:paraId="68900212" w14:textId="77777777" w:rsidR="009C09C7" w:rsidRPr="00C415A8" w:rsidRDefault="000F52BD" w:rsidP="001C6F89">
      <w:pPr>
        <w:spacing w:before="240" w:after="240"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sz w:val="24"/>
          <w:szCs w:val="24"/>
        </w:rPr>
        <w:t xml:space="preserve">Es eminentemente clínico, no existe ningún examen de laboratorio que confirme el diagnóstico. Los exámenes sólo se alteran de forma significativa en cuadros sistémicos, evidenciando cuadros como anemia hemolítica y daño renal secundario. Pese a tener baja sensibilidad se recomienda realizar una hemoglobinuria cualitativa u orina completa en los casos de </w:t>
      </w:r>
      <w:proofErr w:type="spellStart"/>
      <w:r w:rsidRPr="00C415A8">
        <w:rPr>
          <w:rFonts w:ascii="Century Gothic" w:eastAsia="Century Gothic" w:hAnsi="Century Gothic" w:cs="Century Gothic"/>
          <w:sz w:val="24"/>
          <w:szCs w:val="24"/>
        </w:rPr>
        <w:t>loxoscelismo</w:t>
      </w:r>
      <w:proofErr w:type="spellEnd"/>
      <w:r w:rsidRPr="00C415A8">
        <w:rPr>
          <w:rFonts w:ascii="Century Gothic" w:eastAsia="Century Gothic" w:hAnsi="Century Gothic" w:cs="Century Gothic"/>
          <w:sz w:val="24"/>
          <w:szCs w:val="24"/>
        </w:rPr>
        <w:t xml:space="preserve"> cutáneo para poder evidenciar a la brevedad el eventual compromiso visceral.</w:t>
      </w:r>
    </w:p>
    <w:p w14:paraId="77AC4F84" w14:textId="77777777" w:rsidR="009C09C7" w:rsidRPr="00C415A8" w:rsidRDefault="000F52BD" w:rsidP="001C6F89">
      <w:pPr>
        <w:spacing w:before="240" w:after="240"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sz w:val="24"/>
          <w:szCs w:val="24"/>
        </w:rPr>
        <w:t>Aquellos casos asintomáticos sin lesión cutánea se pueden citar a control en 24 horas o frente a síntomas de alarma y reevaluar. Los pacientes que se presentan con ictericia, anemia y falla renal (anuria o hematuria) ya presentan un estado avanzado donde no hay dudas y se debe ingresar.</w:t>
      </w:r>
    </w:p>
    <w:p w14:paraId="28737922" w14:textId="77777777" w:rsidR="009C09C7" w:rsidRPr="00C415A8" w:rsidRDefault="000F52BD" w:rsidP="001C6F89">
      <w:pPr>
        <w:spacing w:before="240" w:after="240"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sz w:val="24"/>
          <w:szCs w:val="24"/>
        </w:rPr>
        <w:t>En el hemograma se encuentra leucocitosis con neutrofilia en el caso de la presentación cutánea; mientras que en la forma cutáneo-visceral se encuentran alteraciones como anemia, reticulocitos, trombocitopenia, aumento de bilirrubina indirecta daño renal y alteración de los tiempos de coagulación antecediendo un cuadro de coagulación intravascular diseminada. Generalmente, no es necesario el estudio histopatológico para su confirmación; sin embargo, se ha encontrado vasculitis con obliteración de pequeños vasos, infiltración de polimorfonucleares, necrosis, edema y hemorragia intersticial.</w:t>
      </w:r>
    </w:p>
    <w:p w14:paraId="70FAE2B1" w14:textId="77777777" w:rsidR="009C09C7" w:rsidRPr="00C415A8" w:rsidRDefault="000F52BD" w:rsidP="001C6F89">
      <w:pPr>
        <w:spacing w:before="240" w:after="240" w:line="360" w:lineRule="auto"/>
        <w:ind w:right="382"/>
        <w:jc w:val="both"/>
        <w:rPr>
          <w:rFonts w:ascii="Century Gothic" w:eastAsia="Century Gothic" w:hAnsi="Century Gothic" w:cs="Century Gothic"/>
          <w:b/>
          <w:sz w:val="24"/>
          <w:szCs w:val="24"/>
        </w:rPr>
      </w:pPr>
      <w:r w:rsidRPr="00C415A8">
        <w:rPr>
          <w:rFonts w:ascii="Century Gothic" w:eastAsia="Century Gothic" w:hAnsi="Century Gothic" w:cs="Century Gothic"/>
          <w:b/>
          <w:sz w:val="24"/>
          <w:szCs w:val="24"/>
        </w:rPr>
        <w:t>DIAGNÓSTICO DIFERENCIAL</w:t>
      </w:r>
    </w:p>
    <w:p w14:paraId="63D79C3B" w14:textId="77777777" w:rsidR="009C09C7" w:rsidRDefault="000F52BD" w:rsidP="001C6F89">
      <w:pPr>
        <w:spacing w:before="240" w:after="240"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sz w:val="24"/>
          <w:szCs w:val="24"/>
        </w:rPr>
        <w:t xml:space="preserve">En orden de importancia, tenemos a la infección secundaria por </w:t>
      </w:r>
      <w:r w:rsidR="00630E30" w:rsidRPr="00C415A8">
        <w:rPr>
          <w:rFonts w:ascii="Century Gothic" w:eastAsia="Century Gothic" w:hAnsi="Century Gothic" w:cs="Century Gothic"/>
          <w:sz w:val="24"/>
          <w:szCs w:val="24"/>
        </w:rPr>
        <w:t>estafilococo, urticaria</w:t>
      </w:r>
      <w:r w:rsidRPr="00C415A8">
        <w:rPr>
          <w:rFonts w:ascii="Century Gothic" w:eastAsia="Century Gothic" w:hAnsi="Century Gothic" w:cs="Century Gothic"/>
          <w:sz w:val="24"/>
          <w:szCs w:val="24"/>
        </w:rPr>
        <w:t>, herpes zóster complicado, equimosis por traumas, ántrax o carbunco cutáneo, picadura de otro insecto, reacción adversa a medicamentos y úlcera infecciosa</w:t>
      </w:r>
      <w:r w:rsidR="001C6F89">
        <w:rPr>
          <w:rFonts w:ascii="Century Gothic" w:eastAsia="Century Gothic" w:hAnsi="Century Gothic" w:cs="Century Gothic"/>
          <w:sz w:val="24"/>
          <w:szCs w:val="24"/>
        </w:rPr>
        <w:t>.</w:t>
      </w:r>
    </w:p>
    <w:p w14:paraId="61916E0E" w14:textId="77777777" w:rsidR="001C6F89" w:rsidRPr="00C415A8" w:rsidRDefault="001C6F89" w:rsidP="001C6F89">
      <w:pPr>
        <w:spacing w:before="240" w:after="240" w:line="360" w:lineRule="auto"/>
        <w:ind w:right="382"/>
        <w:jc w:val="both"/>
        <w:rPr>
          <w:rFonts w:ascii="Century Gothic" w:eastAsia="Century Gothic" w:hAnsi="Century Gothic" w:cs="Century Gothic"/>
          <w:sz w:val="24"/>
          <w:szCs w:val="24"/>
        </w:rPr>
      </w:pPr>
    </w:p>
    <w:p w14:paraId="2337FB22" w14:textId="77777777" w:rsidR="009C09C7" w:rsidRPr="00C415A8" w:rsidRDefault="000F52BD" w:rsidP="001C6F89">
      <w:pPr>
        <w:pStyle w:val="Ttulo3"/>
        <w:keepNext w:val="0"/>
        <w:keepLines w:val="0"/>
        <w:spacing w:before="280" w:line="360" w:lineRule="auto"/>
        <w:ind w:right="382"/>
        <w:jc w:val="both"/>
        <w:rPr>
          <w:rFonts w:ascii="Century Gothic" w:eastAsia="Century Gothic" w:hAnsi="Century Gothic" w:cs="Century Gothic"/>
          <w:b/>
          <w:color w:val="000000"/>
          <w:sz w:val="24"/>
          <w:szCs w:val="24"/>
        </w:rPr>
      </w:pPr>
      <w:bookmarkStart w:id="2" w:name="_heading=h.1fob9te" w:colFirst="0" w:colLast="0"/>
      <w:bookmarkEnd w:id="2"/>
      <w:r w:rsidRPr="00C415A8">
        <w:rPr>
          <w:rFonts w:ascii="Century Gothic" w:eastAsia="Century Gothic" w:hAnsi="Century Gothic" w:cs="Century Gothic"/>
          <w:b/>
          <w:color w:val="000000"/>
          <w:sz w:val="24"/>
          <w:szCs w:val="24"/>
        </w:rPr>
        <w:lastRenderedPageBreak/>
        <w:t>TRATAMIENTO Y MANEJO DEL LOXOSCELISMO</w:t>
      </w:r>
    </w:p>
    <w:p w14:paraId="35AA1E58" w14:textId="77777777" w:rsidR="009C09C7" w:rsidRPr="008D3C8D"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Cs/>
          <w:sz w:val="24"/>
          <w:szCs w:val="24"/>
        </w:rPr>
      </w:pPr>
      <w:r w:rsidRPr="008D3C8D">
        <w:rPr>
          <w:rFonts w:ascii="Century Gothic" w:eastAsia="Century Gothic" w:hAnsi="Century Gothic" w:cs="Century Gothic"/>
          <w:bCs/>
          <w:sz w:val="24"/>
          <w:szCs w:val="24"/>
        </w:rPr>
        <w:t>Se debe tener en cuenta los primeros auxilios, c</w:t>
      </w:r>
      <w:r w:rsidRPr="008D3C8D">
        <w:rPr>
          <w:rFonts w:ascii="Century Gothic" w:eastAsia="Century Gothic" w:hAnsi="Century Gothic" w:cs="Century Gothic"/>
          <w:bCs/>
          <w:color w:val="000000"/>
          <w:sz w:val="24"/>
          <w:szCs w:val="24"/>
        </w:rPr>
        <w:t>onsidera</w:t>
      </w:r>
      <w:r w:rsidRPr="008D3C8D">
        <w:rPr>
          <w:rFonts w:ascii="Century Gothic" w:eastAsia="Century Gothic" w:hAnsi="Century Gothic" w:cs="Century Gothic"/>
          <w:bCs/>
          <w:sz w:val="24"/>
          <w:szCs w:val="24"/>
        </w:rPr>
        <w:t>ndo</w:t>
      </w:r>
      <w:r w:rsidRPr="008D3C8D">
        <w:rPr>
          <w:rFonts w:ascii="Century Gothic" w:eastAsia="Century Gothic" w:hAnsi="Century Gothic" w:cs="Century Gothic"/>
          <w:bCs/>
          <w:color w:val="000000"/>
          <w:sz w:val="24"/>
          <w:szCs w:val="24"/>
        </w:rPr>
        <w:t xml:space="preserve"> que los accidentes deben ser tratados como una </w:t>
      </w:r>
      <w:r w:rsidRPr="008D3C8D">
        <w:rPr>
          <w:rFonts w:ascii="Century Gothic" w:eastAsia="Century Gothic" w:hAnsi="Century Gothic" w:cs="Century Gothic"/>
          <w:bCs/>
          <w:sz w:val="24"/>
          <w:szCs w:val="24"/>
        </w:rPr>
        <w:t>emergencia</w:t>
      </w:r>
      <w:r w:rsidRPr="008D3C8D">
        <w:rPr>
          <w:rFonts w:ascii="Century Gothic" w:eastAsia="Century Gothic" w:hAnsi="Century Gothic" w:cs="Century Gothic"/>
          <w:bCs/>
          <w:color w:val="000000"/>
          <w:sz w:val="24"/>
          <w:szCs w:val="24"/>
        </w:rPr>
        <w:t xml:space="preserve">. La tranquilidad y la inmovilización del </w:t>
      </w:r>
      <w:r w:rsidRPr="008D3C8D">
        <w:rPr>
          <w:rFonts w:ascii="Century Gothic" w:eastAsia="Century Gothic" w:hAnsi="Century Gothic" w:cs="Century Gothic"/>
          <w:bCs/>
          <w:sz w:val="24"/>
          <w:szCs w:val="24"/>
        </w:rPr>
        <w:t>paciente, sobre</w:t>
      </w:r>
      <w:r w:rsidRPr="008D3C8D">
        <w:rPr>
          <w:rFonts w:ascii="Century Gothic" w:eastAsia="Century Gothic" w:hAnsi="Century Gothic" w:cs="Century Gothic"/>
          <w:bCs/>
          <w:color w:val="000000"/>
          <w:sz w:val="24"/>
          <w:szCs w:val="24"/>
        </w:rPr>
        <w:t xml:space="preserve"> todo el miembro comprometido</w:t>
      </w:r>
      <w:r w:rsidRPr="008D3C8D">
        <w:rPr>
          <w:rFonts w:ascii="Century Gothic" w:eastAsia="Century Gothic" w:hAnsi="Century Gothic" w:cs="Century Gothic"/>
          <w:bCs/>
          <w:sz w:val="24"/>
          <w:szCs w:val="24"/>
        </w:rPr>
        <w:t xml:space="preserve">, es muy importante. </w:t>
      </w:r>
      <w:r w:rsidRPr="008D3C8D">
        <w:rPr>
          <w:rFonts w:ascii="Century Gothic" w:eastAsia="Century Gothic" w:hAnsi="Century Gothic" w:cs="Century Gothic"/>
          <w:bCs/>
          <w:color w:val="000000"/>
          <w:sz w:val="24"/>
          <w:szCs w:val="24"/>
        </w:rPr>
        <w:t xml:space="preserve">Capturar e identificar las </w:t>
      </w:r>
      <w:r w:rsidRPr="008D3C8D">
        <w:rPr>
          <w:rFonts w:ascii="Century Gothic" w:eastAsia="Century Gothic" w:hAnsi="Century Gothic" w:cs="Century Gothic"/>
          <w:bCs/>
          <w:sz w:val="24"/>
          <w:szCs w:val="24"/>
        </w:rPr>
        <w:t>características</w:t>
      </w:r>
      <w:r w:rsidRPr="008D3C8D">
        <w:rPr>
          <w:rFonts w:ascii="Century Gothic" w:eastAsia="Century Gothic" w:hAnsi="Century Gothic" w:cs="Century Gothic"/>
          <w:bCs/>
          <w:color w:val="000000"/>
          <w:sz w:val="24"/>
          <w:szCs w:val="24"/>
        </w:rPr>
        <w:t xml:space="preserve"> del arácnido de ser posible,</w:t>
      </w:r>
      <w:r w:rsidRPr="008D3C8D">
        <w:rPr>
          <w:rFonts w:ascii="Century Gothic" w:eastAsia="Century Gothic" w:hAnsi="Century Gothic" w:cs="Century Gothic"/>
          <w:bCs/>
          <w:sz w:val="24"/>
          <w:szCs w:val="24"/>
        </w:rPr>
        <w:t xml:space="preserve"> p</w:t>
      </w:r>
      <w:r w:rsidRPr="008D3C8D">
        <w:rPr>
          <w:rFonts w:ascii="Century Gothic" w:eastAsia="Century Gothic" w:hAnsi="Century Gothic" w:cs="Century Gothic"/>
          <w:bCs/>
          <w:color w:val="000000"/>
          <w:sz w:val="24"/>
          <w:szCs w:val="24"/>
        </w:rPr>
        <w:t xml:space="preserve">ara la posterior aplicación del suero </w:t>
      </w:r>
      <w:proofErr w:type="spellStart"/>
      <w:r w:rsidRPr="008D3C8D">
        <w:rPr>
          <w:rFonts w:ascii="Century Gothic" w:eastAsia="Century Gothic" w:hAnsi="Century Gothic" w:cs="Century Gothic"/>
          <w:bCs/>
          <w:color w:val="000000"/>
          <w:sz w:val="24"/>
          <w:szCs w:val="24"/>
        </w:rPr>
        <w:t>antiloxoscelico</w:t>
      </w:r>
      <w:proofErr w:type="spellEnd"/>
      <w:r w:rsidRPr="008D3C8D">
        <w:rPr>
          <w:rFonts w:ascii="Century Gothic" w:eastAsia="Century Gothic" w:hAnsi="Century Gothic" w:cs="Century Gothic"/>
          <w:bCs/>
          <w:color w:val="000000"/>
          <w:sz w:val="24"/>
          <w:szCs w:val="24"/>
        </w:rPr>
        <w:t xml:space="preserve"> específico apenas suceda el accidente o en lo posible dentro de las 24h.</w:t>
      </w:r>
      <w:r w:rsidRPr="008D3C8D">
        <w:rPr>
          <w:rFonts w:ascii="Century Gothic" w:eastAsia="Century Gothic" w:hAnsi="Century Gothic" w:cs="Century Gothic"/>
          <w:bCs/>
          <w:sz w:val="24"/>
          <w:szCs w:val="24"/>
        </w:rPr>
        <w:t xml:space="preserve"> </w:t>
      </w:r>
      <w:r w:rsidRPr="008D3C8D">
        <w:rPr>
          <w:rFonts w:ascii="Century Gothic" w:eastAsia="Century Gothic" w:hAnsi="Century Gothic" w:cs="Century Gothic"/>
          <w:bCs/>
          <w:color w:val="000000"/>
          <w:sz w:val="24"/>
          <w:szCs w:val="24"/>
        </w:rPr>
        <w:t xml:space="preserve">Administrar </w:t>
      </w:r>
      <w:r w:rsidRPr="008D3C8D">
        <w:rPr>
          <w:rFonts w:ascii="Century Gothic" w:eastAsia="Century Gothic" w:hAnsi="Century Gothic" w:cs="Century Gothic"/>
          <w:bCs/>
          <w:sz w:val="24"/>
          <w:szCs w:val="24"/>
        </w:rPr>
        <w:t>líquidos</w:t>
      </w:r>
      <w:r w:rsidRPr="008D3C8D">
        <w:rPr>
          <w:rFonts w:ascii="Century Gothic" w:eastAsia="Century Gothic" w:hAnsi="Century Gothic" w:cs="Century Gothic"/>
          <w:bCs/>
          <w:color w:val="000000"/>
          <w:sz w:val="24"/>
          <w:szCs w:val="24"/>
        </w:rPr>
        <w:t xml:space="preserve"> por </w:t>
      </w:r>
      <w:r w:rsidRPr="008D3C8D">
        <w:rPr>
          <w:rFonts w:ascii="Century Gothic" w:eastAsia="Century Gothic" w:hAnsi="Century Gothic" w:cs="Century Gothic"/>
          <w:bCs/>
          <w:sz w:val="24"/>
          <w:szCs w:val="24"/>
        </w:rPr>
        <w:t>vía</w:t>
      </w:r>
      <w:r w:rsidRPr="008D3C8D">
        <w:rPr>
          <w:rFonts w:ascii="Century Gothic" w:eastAsia="Century Gothic" w:hAnsi="Century Gothic" w:cs="Century Gothic"/>
          <w:bCs/>
          <w:color w:val="000000"/>
          <w:sz w:val="24"/>
          <w:szCs w:val="24"/>
        </w:rPr>
        <w:t xml:space="preserve"> oral y </w:t>
      </w:r>
      <w:r w:rsidR="00630E30" w:rsidRPr="008D3C8D">
        <w:rPr>
          <w:rFonts w:ascii="Century Gothic" w:eastAsia="Century Gothic" w:hAnsi="Century Gothic" w:cs="Century Gothic"/>
          <w:bCs/>
          <w:color w:val="000000"/>
          <w:sz w:val="24"/>
          <w:szCs w:val="24"/>
        </w:rPr>
        <w:t>an</w:t>
      </w:r>
      <w:r w:rsidR="00630E30" w:rsidRPr="008D3C8D">
        <w:rPr>
          <w:rFonts w:ascii="Century Gothic" w:eastAsia="Century Gothic" w:hAnsi="Century Gothic" w:cs="Century Gothic"/>
          <w:bCs/>
          <w:sz w:val="24"/>
          <w:szCs w:val="24"/>
        </w:rPr>
        <w:t>al</w:t>
      </w:r>
      <w:r w:rsidR="00630E30" w:rsidRPr="008D3C8D">
        <w:rPr>
          <w:rFonts w:ascii="Century Gothic" w:eastAsia="Century Gothic" w:hAnsi="Century Gothic" w:cs="Century Gothic"/>
          <w:bCs/>
          <w:color w:val="000000"/>
          <w:sz w:val="24"/>
          <w:szCs w:val="24"/>
        </w:rPr>
        <w:t>gésicos</w:t>
      </w:r>
      <w:r w:rsidRPr="008D3C8D">
        <w:rPr>
          <w:rFonts w:ascii="Century Gothic" w:eastAsia="Century Gothic" w:hAnsi="Century Gothic" w:cs="Century Gothic"/>
          <w:bCs/>
          <w:sz w:val="24"/>
          <w:szCs w:val="24"/>
        </w:rPr>
        <w:t>, una vez realizado estos pasos se debe t</w:t>
      </w:r>
      <w:r w:rsidRPr="008D3C8D">
        <w:rPr>
          <w:rFonts w:ascii="Century Gothic" w:eastAsia="Century Gothic" w:hAnsi="Century Gothic" w:cs="Century Gothic"/>
          <w:bCs/>
          <w:color w:val="000000"/>
          <w:sz w:val="24"/>
          <w:szCs w:val="24"/>
        </w:rPr>
        <w:t>ransportar al paciente a un centro de salud más cercano.</w:t>
      </w:r>
    </w:p>
    <w:p w14:paraId="5A5AEB63" w14:textId="77777777" w:rsidR="009C09C7" w:rsidRPr="008D3C8D"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Cs/>
          <w:color w:val="000000"/>
          <w:sz w:val="24"/>
          <w:szCs w:val="24"/>
        </w:rPr>
      </w:pPr>
      <w:r w:rsidRPr="008D3C8D">
        <w:rPr>
          <w:rFonts w:ascii="Century Gothic" w:eastAsia="Century Gothic" w:hAnsi="Century Gothic" w:cs="Century Gothic"/>
          <w:bCs/>
          <w:sz w:val="24"/>
          <w:szCs w:val="24"/>
        </w:rPr>
        <w:t>La atención del paciente en el centro de salud se inicia con la confirmación de que</w:t>
      </w:r>
      <w:r w:rsidRPr="008D3C8D">
        <w:rPr>
          <w:rFonts w:ascii="Century Gothic" w:eastAsia="Century Gothic" w:hAnsi="Century Gothic" w:cs="Century Gothic"/>
          <w:bCs/>
          <w:color w:val="000000"/>
          <w:sz w:val="24"/>
          <w:szCs w:val="24"/>
        </w:rPr>
        <w:t xml:space="preserve"> la mordedura </w:t>
      </w:r>
      <w:r w:rsidRPr="008D3C8D">
        <w:rPr>
          <w:rFonts w:ascii="Century Gothic" w:eastAsia="Century Gothic" w:hAnsi="Century Gothic" w:cs="Century Gothic"/>
          <w:bCs/>
          <w:sz w:val="24"/>
          <w:szCs w:val="24"/>
        </w:rPr>
        <w:t>corresponde</w:t>
      </w:r>
      <w:r w:rsidRPr="008D3C8D">
        <w:rPr>
          <w:rFonts w:ascii="Century Gothic" w:eastAsia="Century Gothic" w:hAnsi="Century Gothic" w:cs="Century Gothic"/>
          <w:bCs/>
          <w:color w:val="000000"/>
          <w:sz w:val="24"/>
          <w:szCs w:val="24"/>
        </w:rPr>
        <w:t xml:space="preserve"> a un accidente </w:t>
      </w:r>
      <w:proofErr w:type="spellStart"/>
      <w:r w:rsidRPr="008D3C8D">
        <w:rPr>
          <w:rFonts w:ascii="Century Gothic" w:eastAsia="Century Gothic" w:hAnsi="Century Gothic" w:cs="Century Gothic"/>
          <w:bCs/>
          <w:color w:val="000000"/>
          <w:sz w:val="24"/>
          <w:szCs w:val="24"/>
        </w:rPr>
        <w:t>loxoscélico</w:t>
      </w:r>
      <w:proofErr w:type="spellEnd"/>
      <w:r w:rsidRPr="008D3C8D">
        <w:rPr>
          <w:rFonts w:ascii="Century Gothic" w:eastAsia="Century Gothic" w:hAnsi="Century Gothic" w:cs="Century Gothic"/>
          <w:bCs/>
          <w:color w:val="000000"/>
          <w:sz w:val="24"/>
          <w:szCs w:val="24"/>
        </w:rPr>
        <w:t xml:space="preserve"> u otro</w:t>
      </w:r>
      <w:r w:rsidRPr="008D3C8D">
        <w:rPr>
          <w:rFonts w:ascii="Century Gothic" w:eastAsia="Century Gothic" w:hAnsi="Century Gothic" w:cs="Century Gothic"/>
          <w:bCs/>
          <w:sz w:val="24"/>
          <w:szCs w:val="24"/>
        </w:rPr>
        <w:t>. Una rá</w:t>
      </w:r>
      <w:r w:rsidRPr="008D3C8D">
        <w:rPr>
          <w:rFonts w:ascii="Century Gothic" w:eastAsia="Century Gothic" w:hAnsi="Century Gothic" w:cs="Century Gothic"/>
          <w:bCs/>
          <w:color w:val="000000"/>
          <w:sz w:val="24"/>
          <w:szCs w:val="24"/>
        </w:rPr>
        <w:t>pida evaluación que incluye laboratorio, control de funciones vitales de 12 a 24 h</w:t>
      </w:r>
      <w:r w:rsidRPr="008D3C8D">
        <w:rPr>
          <w:rFonts w:ascii="Century Gothic" w:eastAsia="Century Gothic" w:hAnsi="Century Gothic" w:cs="Century Gothic"/>
          <w:bCs/>
          <w:sz w:val="24"/>
          <w:szCs w:val="24"/>
        </w:rPr>
        <w:t>, a</w:t>
      </w:r>
      <w:r w:rsidRPr="008D3C8D">
        <w:rPr>
          <w:rFonts w:ascii="Century Gothic" w:eastAsia="Century Gothic" w:hAnsi="Century Gothic" w:cs="Century Gothic"/>
          <w:bCs/>
          <w:color w:val="000000"/>
          <w:sz w:val="24"/>
          <w:szCs w:val="24"/>
        </w:rPr>
        <w:t>dministración de líquidos hasta alcalinizar la orina</w:t>
      </w:r>
      <w:r w:rsidRPr="008D3C8D">
        <w:rPr>
          <w:rFonts w:ascii="Century Gothic" w:eastAsia="Century Gothic" w:hAnsi="Century Gothic" w:cs="Century Gothic"/>
          <w:bCs/>
          <w:sz w:val="24"/>
          <w:szCs w:val="24"/>
        </w:rPr>
        <w:t>, a</w:t>
      </w:r>
      <w:r w:rsidRPr="008D3C8D">
        <w:rPr>
          <w:rFonts w:ascii="Century Gothic" w:eastAsia="Century Gothic" w:hAnsi="Century Gothic" w:cs="Century Gothic"/>
          <w:bCs/>
          <w:color w:val="000000"/>
          <w:sz w:val="24"/>
          <w:szCs w:val="24"/>
        </w:rPr>
        <w:t>plicar suero siempre que no se haya aplicado hasta el momento de la atención</w:t>
      </w:r>
      <w:r w:rsidRPr="008D3C8D">
        <w:rPr>
          <w:rFonts w:ascii="Century Gothic" w:eastAsia="Century Gothic" w:hAnsi="Century Gothic" w:cs="Century Gothic"/>
          <w:bCs/>
          <w:sz w:val="24"/>
          <w:szCs w:val="24"/>
        </w:rPr>
        <w:t>. D</w:t>
      </w:r>
      <w:r w:rsidRPr="008D3C8D">
        <w:rPr>
          <w:rFonts w:ascii="Century Gothic" w:eastAsia="Century Gothic" w:hAnsi="Century Gothic" w:cs="Century Gothic"/>
          <w:bCs/>
          <w:color w:val="000000"/>
          <w:sz w:val="24"/>
          <w:szCs w:val="24"/>
        </w:rPr>
        <w:t xml:space="preserve">e acuerdo a la evolución y complicaciones sistémicas, el paciente debe ser </w:t>
      </w:r>
      <w:r w:rsidR="001C6F89" w:rsidRPr="008D3C8D">
        <w:rPr>
          <w:rFonts w:ascii="Century Gothic" w:eastAsia="Century Gothic" w:hAnsi="Century Gothic" w:cs="Century Gothic"/>
          <w:bCs/>
          <w:color w:val="000000"/>
          <w:sz w:val="24"/>
          <w:szCs w:val="24"/>
        </w:rPr>
        <w:t>transferido a</w:t>
      </w:r>
      <w:r w:rsidRPr="008D3C8D">
        <w:rPr>
          <w:rFonts w:ascii="Century Gothic" w:eastAsia="Century Gothic" w:hAnsi="Century Gothic" w:cs="Century Gothic"/>
          <w:bCs/>
          <w:color w:val="000000"/>
          <w:sz w:val="24"/>
          <w:szCs w:val="24"/>
        </w:rPr>
        <w:t xml:space="preserve"> un centro hospitalario de mayor complejidad.</w:t>
      </w:r>
    </w:p>
    <w:p w14:paraId="6D051180" w14:textId="77777777" w:rsidR="009C09C7" w:rsidRPr="008D3C8D" w:rsidRDefault="001C6F89" w:rsidP="001C6F89">
      <w:pPr>
        <w:pBdr>
          <w:top w:val="nil"/>
          <w:left w:val="nil"/>
          <w:bottom w:val="nil"/>
          <w:right w:val="nil"/>
          <w:between w:val="nil"/>
        </w:pBdr>
        <w:spacing w:line="360" w:lineRule="auto"/>
        <w:ind w:right="382"/>
        <w:jc w:val="both"/>
        <w:rPr>
          <w:rFonts w:ascii="Century Gothic" w:eastAsia="Century Gothic" w:hAnsi="Century Gothic" w:cs="Century Gothic"/>
          <w:bCs/>
          <w:color w:val="000000"/>
          <w:sz w:val="24"/>
          <w:szCs w:val="24"/>
        </w:rPr>
      </w:pPr>
      <w:r w:rsidRPr="008D3C8D">
        <w:rPr>
          <w:rFonts w:ascii="Century Gothic" w:eastAsia="Century Gothic" w:hAnsi="Century Gothic" w:cs="Century Gothic"/>
          <w:bCs/>
          <w:sz w:val="24"/>
          <w:szCs w:val="24"/>
        </w:rPr>
        <w:t>Finalmente,</w:t>
      </w:r>
      <w:r w:rsidR="000F52BD" w:rsidRPr="008D3C8D">
        <w:rPr>
          <w:rFonts w:ascii="Century Gothic" w:eastAsia="Century Gothic" w:hAnsi="Century Gothic" w:cs="Century Gothic"/>
          <w:bCs/>
          <w:sz w:val="24"/>
          <w:szCs w:val="24"/>
        </w:rPr>
        <w:t xml:space="preserve"> el paciente debe ser hospitalizado </w:t>
      </w:r>
      <w:r w:rsidR="000F52BD" w:rsidRPr="008D3C8D">
        <w:rPr>
          <w:rFonts w:ascii="Century Gothic" w:eastAsia="Century Gothic" w:hAnsi="Century Gothic" w:cs="Century Gothic"/>
          <w:bCs/>
          <w:color w:val="000000"/>
          <w:sz w:val="24"/>
          <w:szCs w:val="24"/>
        </w:rPr>
        <w:t>dependiendo del cuadro tóxico</w:t>
      </w:r>
      <w:r w:rsidR="000F52BD" w:rsidRPr="008D3C8D">
        <w:rPr>
          <w:rFonts w:ascii="Century Gothic" w:eastAsia="Century Gothic" w:hAnsi="Century Gothic" w:cs="Century Gothic"/>
          <w:bCs/>
          <w:sz w:val="24"/>
          <w:szCs w:val="24"/>
        </w:rPr>
        <w:t>, de esta forma d</w:t>
      </w:r>
      <w:r w:rsidR="000F52BD" w:rsidRPr="008D3C8D">
        <w:rPr>
          <w:rFonts w:ascii="Century Gothic" w:eastAsia="Century Gothic" w:hAnsi="Century Gothic" w:cs="Century Gothic"/>
          <w:bCs/>
          <w:color w:val="000000"/>
          <w:sz w:val="24"/>
          <w:szCs w:val="24"/>
        </w:rPr>
        <w:t>eterminar si se trata de un síndrome cutáneo o sistémico</w:t>
      </w:r>
      <w:r w:rsidR="000F52BD" w:rsidRPr="008D3C8D">
        <w:rPr>
          <w:rFonts w:ascii="Century Gothic" w:eastAsia="Century Gothic" w:hAnsi="Century Gothic" w:cs="Century Gothic"/>
          <w:bCs/>
          <w:sz w:val="24"/>
          <w:szCs w:val="24"/>
        </w:rPr>
        <w:t xml:space="preserve">. </w:t>
      </w:r>
      <w:r w:rsidR="000F52BD" w:rsidRPr="008D3C8D">
        <w:rPr>
          <w:rFonts w:ascii="Century Gothic" w:eastAsia="Century Gothic" w:hAnsi="Century Gothic" w:cs="Century Gothic"/>
          <w:bCs/>
          <w:color w:val="000000"/>
          <w:sz w:val="24"/>
          <w:szCs w:val="24"/>
        </w:rPr>
        <w:t>En caso de síndrome cutáneo, pasadas las 24h y de no existir compromiso sistémico, se recomienda aplicar Dapsona 100mg al día por 5 a 7 días a partir de 12 años para adelante y en niños de 1 mg/kg. Una sobredosis de Daps</w:t>
      </w:r>
      <w:r w:rsidR="000F52BD" w:rsidRPr="008D3C8D">
        <w:rPr>
          <w:rFonts w:ascii="Century Gothic" w:eastAsia="Century Gothic" w:hAnsi="Century Gothic" w:cs="Century Gothic"/>
          <w:bCs/>
          <w:sz w:val="24"/>
          <w:szCs w:val="24"/>
        </w:rPr>
        <w:t>o</w:t>
      </w:r>
      <w:r w:rsidR="000F52BD" w:rsidRPr="008D3C8D">
        <w:rPr>
          <w:rFonts w:ascii="Century Gothic" w:eastAsia="Century Gothic" w:hAnsi="Century Gothic" w:cs="Century Gothic"/>
          <w:bCs/>
          <w:color w:val="000000"/>
          <w:sz w:val="24"/>
          <w:szCs w:val="24"/>
        </w:rPr>
        <w:t>na puede haber metahemoglobinemia por lo que debe suspenderse la terapia.</w:t>
      </w:r>
      <w:r w:rsidR="000F52BD" w:rsidRPr="008D3C8D">
        <w:rPr>
          <w:rFonts w:ascii="Century Gothic" w:eastAsia="Century Gothic" w:hAnsi="Century Gothic" w:cs="Century Gothic"/>
          <w:bCs/>
          <w:sz w:val="24"/>
          <w:szCs w:val="24"/>
        </w:rPr>
        <w:t xml:space="preserve"> </w:t>
      </w:r>
      <w:r w:rsidR="000F52BD" w:rsidRPr="008D3C8D">
        <w:rPr>
          <w:rFonts w:ascii="Century Gothic" w:eastAsia="Century Gothic" w:hAnsi="Century Gothic" w:cs="Century Gothic"/>
          <w:bCs/>
          <w:color w:val="000000"/>
          <w:sz w:val="24"/>
          <w:szCs w:val="24"/>
        </w:rPr>
        <w:t xml:space="preserve">En caso de erupción dérmica </w:t>
      </w:r>
      <w:r w:rsidR="00630E30" w:rsidRPr="008D3C8D">
        <w:rPr>
          <w:rFonts w:ascii="Century Gothic" w:eastAsia="Century Gothic" w:hAnsi="Century Gothic" w:cs="Century Gothic"/>
          <w:bCs/>
          <w:color w:val="000000"/>
          <w:sz w:val="24"/>
          <w:szCs w:val="24"/>
        </w:rPr>
        <w:t>administrar</w:t>
      </w:r>
      <w:r w:rsidR="000F52BD" w:rsidRPr="008D3C8D">
        <w:rPr>
          <w:rFonts w:ascii="Century Gothic" w:eastAsia="Century Gothic" w:hAnsi="Century Gothic" w:cs="Century Gothic"/>
          <w:bCs/>
          <w:color w:val="000000"/>
          <w:sz w:val="24"/>
          <w:szCs w:val="24"/>
        </w:rPr>
        <w:t xml:space="preserve"> </w:t>
      </w:r>
      <w:r w:rsidR="008D3C8D" w:rsidRPr="008D3C8D">
        <w:rPr>
          <w:rFonts w:ascii="Century Gothic" w:eastAsia="Century Gothic" w:hAnsi="Century Gothic" w:cs="Century Gothic"/>
          <w:bCs/>
          <w:color w:val="000000"/>
          <w:sz w:val="24"/>
          <w:szCs w:val="24"/>
        </w:rPr>
        <w:t>antihistamínicos</w:t>
      </w:r>
      <w:r w:rsidR="000F52BD" w:rsidRPr="008D3C8D">
        <w:rPr>
          <w:rFonts w:ascii="Century Gothic" w:eastAsia="Century Gothic" w:hAnsi="Century Gothic" w:cs="Century Gothic"/>
          <w:bCs/>
          <w:sz w:val="24"/>
          <w:szCs w:val="24"/>
        </w:rPr>
        <w:t xml:space="preserve">, </w:t>
      </w:r>
      <w:r w:rsidR="008D3C8D" w:rsidRPr="008D3C8D">
        <w:rPr>
          <w:rFonts w:ascii="Century Gothic" w:eastAsia="Century Gothic" w:hAnsi="Century Gothic" w:cs="Century Gothic"/>
          <w:bCs/>
          <w:sz w:val="24"/>
          <w:szCs w:val="24"/>
        </w:rPr>
        <w:t>a</w:t>
      </w:r>
      <w:r w:rsidR="008D3C8D" w:rsidRPr="008D3C8D">
        <w:rPr>
          <w:rFonts w:ascii="Century Gothic" w:eastAsia="Century Gothic" w:hAnsi="Century Gothic" w:cs="Century Gothic"/>
          <w:bCs/>
          <w:color w:val="000000"/>
          <w:sz w:val="24"/>
          <w:szCs w:val="24"/>
        </w:rPr>
        <w:t>ntibióticos</w:t>
      </w:r>
      <w:r w:rsidR="000F52BD" w:rsidRPr="008D3C8D">
        <w:rPr>
          <w:rFonts w:ascii="Century Gothic" w:eastAsia="Century Gothic" w:hAnsi="Century Gothic" w:cs="Century Gothic"/>
          <w:bCs/>
          <w:sz w:val="24"/>
          <w:szCs w:val="24"/>
        </w:rPr>
        <w:t xml:space="preserve"> si se manifiestan</w:t>
      </w:r>
      <w:r w:rsidR="000F52BD" w:rsidRPr="008D3C8D">
        <w:rPr>
          <w:rFonts w:ascii="Century Gothic" w:eastAsia="Century Gothic" w:hAnsi="Century Gothic" w:cs="Century Gothic"/>
          <w:bCs/>
          <w:color w:val="000000"/>
          <w:sz w:val="24"/>
          <w:szCs w:val="24"/>
        </w:rPr>
        <w:t xml:space="preserve"> signos de infección</w:t>
      </w:r>
      <w:r w:rsidR="000F52BD" w:rsidRPr="008D3C8D">
        <w:rPr>
          <w:rFonts w:ascii="Century Gothic" w:eastAsia="Century Gothic" w:hAnsi="Century Gothic" w:cs="Century Gothic"/>
          <w:bCs/>
          <w:sz w:val="24"/>
          <w:szCs w:val="24"/>
        </w:rPr>
        <w:t>, c</w:t>
      </w:r>
      <w:r w:rsidR="000F52BD" w:rsidRPr="008D3C8D">
        <w:rPr>
          <w:rFonts w:ascii="Century Gothic" w:eastAsia="Century Gothic" w:hAnsi="Century Gothic" w:cs="Century Gothic"/>
          <w:bCs/>
          <w:color w:val="000000"/>
          <w:sz w:val="24"/>
          <w:szCs w:val="24"/>
        </w:rPr>
        <w:t xml:space="preserve">orticoides en caso de </w:t>
      </w:r>
      <w:proofErr w:type="spellStart"/>
      <w:r w:rsidR="000F52BD" w:rsidRPr="008D3C8D">
        <w:rPr>
          <w:rFonts w:ascii="Century Gothic" w:eastAsia="Century Gothic" w:hAnsi="Century Gothic" w:cs="Century Gothic"/>
          <w:bCs/>
          <w:color w:val="000000"/>
          <w:sz w:val="24"/>
          <w:szCs w:val="24"/>
        </w:rPr>
        <w:t>loxoscelismo</w:t>
      </w:r>
      <w:proofErr w:type="spellEnd"/>
      <w:r w:rsidR="000F52BD" w:rsidRPr="008D3C8D">
        <w:rPr>
          <w:rFonts w:ascii="Century Gothic" w:eastAsia="Century Gothic" w:hAnsi="Century Gothic" w:cs="Century Gothic"/>
          <w:bCs/>
          <w:color w:val="000000"/>
          <w:sz w:val="24"/>
          <w:szCs w:val="24"/>
        </w:rPr>
        <w:t xml:space="preserve"> en cara.</w:t>
      </w:r>
    </w:p>
    <w:p w14:paraId="767D41D9" w14:textId="77777777" w:rsidR="009C09C7" w:rsidRPr="008D3C8D" w:rsidRDefault="000F52BD" w:rsidP="001C6F89">
      <w:pPr>
        <w:pBdr>
          <w:top w:val="nil"/>
          <w:left w:val="nil"/>
          <w:bottom w:val="nil"/>
          <w:right w:val="nil"/>
          <w:between w:val="nil"/>
        </w:pBdr>
        <w:spacing w:line="360" w:lineRule="auto"/>
        <w:ind w:right="382"/>
        <w:jc w:val="both"/>
        <w:rPr>
          <w:rFonts w:ascii="Century Gothic" w:eastAsia="Century Gothic" w:hAnsi="Century Gothic" w:cs="Century Gothic"/>
          <w:bCs/>
          <w:sz w:val="24"/>
          <w:szCs w:val="24"/>
        </w:rPr>
      </w:pPr>
      <w:r w:rsidRPr="008D3C8D">
        <w:rPr>
          <w:rFonts w:ascii="Century Gothic" w:eastAsia="Century Gothic" w:hAnsi="Century Gothic" w:cs="Century Gothic"/>
          <w:bCs/>
          <w:sz w:val="24"/>
          <w:szCs w:val="24"/>
        </w:rPr>
        <w:t>Si llega a</w:t>
      </w:r>
      <w:r w:rsidRPr="008D3C8D">
        <w:rPr>
          <w:rFonts w:ascii="Century Gothic" w:eastAsia="Century Gothic" w:hAnsi="Century Gothic" w:cs="Century Gothic"/>
          <w:bCs/>
          <w:color w:val="000000"/>
          <w:sz w:val="24"/>
          <w:szCs w:val="24"/>
        </w:rPr>
        <w:t xml:space="preserve"> producirse úlcera </w:t>
      </w:r>
      <w:r w:rsidRPr="008D3C8D">
        <w:rPr>
          <w:rFonts w:ascii="Century Gothic" w:eastAsia="Century Gothic" w:hAnsi="Century Gothic" w:cs="Century Gothic"/>
          <w:bCs/>
          <w:sz w:val="24"/>
          <w:szCs w:val="24"/>
        </w:rPr>
        <w:t>se debe</w:t>
      </w:r>
      <w:r w:rsidRPr="008D3C8D">
        <w:rPr>
          <w:rFonts w:ascii="Century Gothic" w:eastAsia="Century Gothic" w:hAnsi="Century Gothic" w:cs="Century Gothic"/>
          <w:bCs/>
          <w:color w:val="000000"/>
          <w:sz w:val="24"/>
          <w:szCs w:val="24"/>
        </w:rPr>
        <w:t xml:space="preserve"> extraer los tejidos necróticos y usar azúcar tópica en la misma. La cirugía reparadora se </w:t>
      </w:r>
      <w:r w:rsidR="00630E30" w:rsidRPr="008D3C8D">
        <w:rPr>
          <w:rFonts w:ascii="Century Gothic" w:eastAsia="Century Gothic" w:hAnsi="Century Gothic" w:cs="Century Gothic"/>
          <w:bCs/>
          <w:sz w:val="24"/>
          <w:szCs w:val="24"/>
        </w:rPr>
        <w:t>practica</w:t>
      </w:r>
      <w:r w:rsidR="00630E30" w:rsidRPr="008D3C8D">
        <w:rPr>
          <w:rFonts w:ascii="Century Gothic" w:eastAsia="Century Gothic" w:hAnsi="Century Gothic" w:cs="Century Gothic"/>
          <w:bCs/>
          <w:color w:val="000000"/>
          <w:sz w:val="24"/>
          <w:szCs w:val="24"/>
        </w:rPr>
        <w:t>rá</w:t>
      </w:r>
      <w:r w:rsidRPr="008D3C8D">
        <w:rPr>
          <w:rFonts w:ascii="Century Gothic" w:eastAsia="Century Gothic" w:hAnsi="Century Gothic" w:cs="Century Gothic"/>
          <w:bCs/>
          <w:color w:val="000000"/>
          <w:sz w:val="24"/>
          <w:szCs w:val="24"/>
        </w:rPr>
        <w:t xml:space="preserve"> en lesiones extensas</w:t>
      </w:r>
      <w:r w:rsidRPr="008D3C8D">
        <w:rPr>
          <w:rFonts w:ascii="Century Gothic" w:eastAsia="Century Gothic" w:hAnsi="Century Gothic" w:cs="Century Gothic"/>
          <w:bCs/>
          <w:sz w:val="24"/>
          <w:szCs w:val="24"/>
        </w:rPr>
        <w:t>.</w:t>
      </w:r>
    </w:p>
    <w:p w14:paraId="3E5426D5" w14:textId="77777777" w:rsidR="009C09C7" w:rsidRPr="008D3C8D" w:rsidRDefault="000F52BD" w:rsidP="001C6F89">
      <w:pPr>
        <w:pBdr>
          <w:top w:val="nil"/>
          <w:left w:val="nil"/>
          <w:bottom w:val="nil"/>
          <w:right w:val="nil"/>
          <w:between w:val="nil"/>
        </w:pBdr>
        <w:spacing w:line="360" w:lineRule="auto"/>
        <w:ind w:right="382"/>
        <w:jc w:val="both"/>
        <w:rPr>
          <w:rFonts w:ascii="Century Gothic" w:eastAsia="Century Gothic" w:hAnsi="Century Gothic" w:cs="Century Gothic"/>
          <w:bCs/>
          <w:color w:val="000000"/>
          <w:sz w:val="24"/>
          <w:szCs w:val="24"/>
        </w:rPr>
      </w:pPr>
      <w:r w:rsidRPr="008D3C8D">
        <w:rPr>
          <w:rFonts w:ascii="Century Gothic" w:eastAsia="Century Gothic" w:hAnsi="Century Gothic" w:cs="Century Gothic"/>
          <w:bCs/>
          <w:sz w:val="24"/>
          <w:szCs w:val="24"/>
        </w:rPr>
        <w:lastRenderedPageBreak/>
        <w:t>E</w:t>
      </w:r>
      <w:r w:rsidRPr="008D3C8D">
        <w:rPr>
          <w:rFonts w:ascii="Century Gothic" w:eastAsia="Century Gothic" w:hAnsi="Century Gothic" w:cs="Century Gothic"/>
          <w:bCs/>
          <w:color w:val="000000"/>
          <w:sz w:val="24"/>
          <w:szCs w:val="24"/>
        </w:rPr>
        <w:t xml:space="preserve">n </w:t>
      </w:r>
      <w:r w:rsidRPr="008D3C8D">
        <w:rPr>
          <w:rFonts w:ascii="Century Gothic" w:eastAsia="Century Gothic" w:hAnsi="Century Gothic" w:cs="Century Gothic"/>
          <w:bCs/>
          <w:sz w:val="24"/>
          <w:szCs w:val="24"/>
        </w:rPr>
        <w:t xml:space="preserve">el </w:t>
      </w:r>
      <w:proofErr w:type="spellStart"/>
      <w:r w:rsidRPr="008D3C8D">
        <w:rPr>
          <w:rFonts w:ascii="Century Gothic" w:eastAsia="Century Gothic" w:hAnsi="Century Gothic" w:cs="Century Gothic"/>
          <w:bCs/>
          <w:color w:val="000000"/>
          <w:sz w:val="24"/>
          <w:szCs w:val="24"/>
        </w:rPr>
        <w:t>loxoscelimso</w:t>
      </w:r>
      <w:proofErr w:type="spellEnd"/>
      <w:r w:rsidRPr="008D3C8D">
        <w:rPr>
          <w:rFonts w:ascii="Century Gothic" w:eastAsia="Century Gothic" w:hAnsi="Century Gothic" w:cs="Century Gothic"/>
          <w:bCs/>
          <w:color w:val="000000"/>
          <w:sz w:val="24"/>
          <w:szCs w:val="24"/>
        </w:rPr>
        <w:t xml:space="preserve"> sistémico mantener la hidratación oral</w:t>
      </w:r>
      <w:r w:rsidRPr="008D3C8D">
        <w:rPr>
          <w:rFonts w:ascii="Century Gothic" w:eastAsia="Century Gothic" w:hAnsi="Century Gothic" w:cs="Century Gothic"/>
          <w:bCs/>
          <w:sz w:val="24"/>
          <w:szCs w:val="24"/>
        </w:rPr>
        <w:t xml:space="preserve">, </w:t>
      </w:r>
      <w:r w:rsidRPr="008D3C8D">
        <w:rPr>
          <w:rFonts w:ascii="Century Gothic" w:eastAsia="Century Gothic" w:hAnsi="Century Gothic" w:cs="Century Gothic"/>
          <w:bCs/>
          <w:color w:val="000000"/>
          <w:sz w:val="24"/>
          <w:szCs w:val="24"/>
        </w:rPr>
        <w:t>parenteral y el manejo ade</w:t>
      </w:r>
      <w:r w:rsidRPr="008D3C8D">
        <w:rPr>
          <w:rFonts w:ascii="Century Gothic" w:eastAsia="Century Gothic" w:hAnsi="Century Gothic" w:cs="Century Gothic"/>
          <w:bCs/>
          <w:sz w:val="24"/>
          <w:szCs w:val="24"/>
        </w:rPr>
        <w:t>cuado</w:t>
      </w:r>
      <w:r w:rsidRPr="008D3C8D">
        <w:rPr>
          <w:rFonts w:ascii="Century Gothic" w:eastAsia="Century Gothic" w:hAnsi="Century Gothic" w:cs="Century Gothic"/>
          <w:bCs/>
          <w:color w:val="000000"/>
          <w:sz w:val="24"/>
          <w:szCs w:val="24"/>
        </w:rPr>
        <w:t xml:space="preserve"> </w:t>
      </w:r>
      <w:r w:rsidR="008D3C8D" w:rsidRPr="008D3C8D">
        <w:rPr>
          <w:rFonts w:ascii="Century Gothic" w:eastAsia="Century Gothic" w:hAnsi="Century Gothic" w:cs="Century Gothic"/>
          <w:bCs/>
          <w:color w:val="000000"/>
          <w:sz w:val="24"/>
          <w:szCs w:val="24"/>
        </w:rPr>
        <w:t>de complicaciones</w:t>
      </w:r>
      <w:r w:rsidRPr="008D3C8D">
        <w:rPr>
          <w:rFonts w:ascii="Century Gothic" w:eastAsia="Century Gothic" w:hAnsi="Century Gothic" w:cs="Century Gothic"/>
          <w:bCs/>
          <w:sz w:val="24"/>
          <w:szCs w:val="24"/>
        </w:rPr>
        <w:t xml:space="preserve"> si </w:t>
      </w:r>
      <w:r w:rsidR="001C6F89" w:rsidRPr="008D3C8D">
        <w:rPr>
          <w:rFonts w:ascii="Century Gothic" w:eastAsia="Century Gothic" w:hAnsi="Century Gothic" w:cs="Century Gothic"/>
          <w:bCs/>
          <w:sz w:val="24"/>
          <w:szCs w:val="24"/>
        </w:rPr>
        <w:t>hubiera</w:t>
      </w:r>
      <w:r w:rsidRPr="008D3C8D">
        <w:rPr>
          <w:rFonts w:ascii="Century Gothic" w:eastAsia="Century Gothic" w:hAnsi="Century Gothic" w:cs="Century Gothic"/>
          <w:bCs/>
          <w:sz w:val="24"/>
          <w:szCs w:val="24"/>
        </w:rPr>
        <w:t>.</w:t>
      </w:r>
    </w:p>
    <w:p w14:paraId="3D627CBD" w14:textId="77777777" w:rsidR="009C09C7" w:rsidRPr="008D3C8D" w:rsidRDefault="009C09C7" w:rsidP="001C6F89">
      <w:pPr>
        <w:pBdr>
          <w:top w:val="nil"/>
          <w:left w:val="nil"/>
          <w:bottom w:val="nil"/>
          <w:right w:val="nil"/>
          <w:between w:val="nil"/>
        </w:pBdr>
        <w:spacing w:line="360" w:lineRule="auto"/>
        <w:ind w:right="382"/>
        <w:jc w:val="both"/>
        <w:rPr>
          <w:rFonts w:ascii="Century Gothic" w:eastAsia="Century Gothic" w:hAnsi="Century Gothic" w:cs="Century Gothic"/>
          <w:bCs/>
          <w:color w:val="000000"/>
          <w:sz w:val="24"/>
          <w:szCs w:val="24"/>
        </w:rPr>
      </w:pPr>
    </w:p>
    <w:p w14:paraId="065843D1" w14:textId="77777777" w:rsidR="009C09C7" w:rsidRPr="00C415A8" w:rsidRDefault="000F52BD" w:rsidP="001C6F89">
      <w:pPr>
        <w:pBdr>
          <w:top w:val="nil"/>
          <w:left w:val="nil"/>
          <w:bottom w:val="nil"/>
          <w:right w:val="nil"/>
          <w:between w:val="nil"/>
        </w:pBdr>
        <w:spacing w:line="360" w:lineRule="auto"/>
        <w:ind w:right="382"/>
        <w:jc w:val="both"/>
        <w:rPr>
          <w:rFonts w:ascii="Century Gothic" w:eastAsia="Century Gothic" w:hAnsi="Century Gothic" w:cs="Century Gothic"/>
          <w:b/>
          <w:color w:val="000000"/>
          <w:sz w:val="24"/>
          <w:szCs w:val="24"/>
        </w:rPr>
      </w:pPr>
      <w:bookmarkStart w:id="3" w:name="_heading=h.3znysh7" w:colFirst="0" w:colLast="0"/>
      <w:bookmarkEnd w:id="3"/>
      <w:r w:rsidRPr="00C415A8">
        <w:rPr>
          <w:rFonts w:ascii="Century Gothic" w:eastAsia="Century Gothic" w:hAnsi="Century Gothic" w:cs="Century Gothic"/>
          <w:b/>
          <w:color w:val="000000"/>
          <w:sz w:val="24"/>
          <w:szCs w:val="24"/>
        </w:rPr>
        <w:t>PREVENCIÓN</w:t>
      </w:r>
    </w:p>
    <w:p w14:paraId="032E64A6" w14:textId="77777777" w:rsidR="009C09C7" w:rsidRPr="008D3C8D" w:rsidRDefault="000F52BD" w:rsidP="001C6F89">
      <w:pPr>
        <w:spacing w:before="240" w:line="360" w:lineRule="auto"/>
        <w:ind w:right="382"/>
        <w:jc w:val="both"/>
        <w:rPr>
          <w:rFonts w:ascii="Century Gothic" w:eastAsia="Century Gothic" w:hAnsi="Century Gothic" w:cs="Century Gothic"/>
          <w:bCs/>
          <w:sz w:val="24"/>
          <w:szCs w:val="24"/>
        </w:rPr>
      </w:pPr>
      <w:r w:rsidRPr="008D3C8D">
        <w:rPr>
          <w:rFonts w:ascii="Century Gothic" w:eastAsia="Century Gothic" w:hAnsi="Century Gothic" w:cs="Century Gothic"/>
          <w:bCs/>
          <w:sz w:val="24"/>
          <w:szCs w:val="24"/>
        </w:rPr>
        <w:t xml:space="preserve">Se debe evitar áreas de riesgo, manteniendo limpios los hogares, especialmente las zonas oscuras y cálidas donde las arañas suelen anidar. El uso de insecticidas en áreas donde es común encontrar </w:t>
      </w:r>
      <w:proofErr w:type="spellStart"/>
      <w:r w:rsidR="00630E30">
        <w:rPr>
          <w:rFonts w:ascii="Century Gothic" w:eastAsia="Century Gothic" w:hAnsi="Century Gothic" w:cs="Century Gothic"/>
          <w:bCs/>
          <w:i/>
          <w:sz w:val="24"/>
          <w:szCs w:val="24"/>
        </w:rPr>
        <w:t>l</w:t>
      </w:r>
      <w:r w:rsidRPr="008D3C8D">
        <w:rPr>
          <w:rFonts w:ascii="Century Gothic" w:eastAsia="Century Gothic" w:hAnsi="Century Gothic" w:cs="Century Gothic"/>
          <w:bCs/>
          <w:i/>
          <w:sz w:val="24"/>
          <w:szCs w:val="24"/>
        </w:rPr>
        <w:t>oxosceles</w:t>
      </w:r>
      <w:proofErr w:type="spellEnd"/>
      <w:r w:rsidRPr="008D3C8D">
        <w:rPr>
          <w:rFonts w:ascii="Century Gothic" w:eastAsia="Century Gothic" w:hAnsi="Century Gothic" w:cs="Century Gothic"/>
          <w:bCs/>
          <w:sz w:val="24"/>
          <w:szCs w:val="24"/>
        </w:rPr>
        <w:t>, así como el uso de ropa protectora cuando se manipulen objetos o se limpien áreas donde puedan encontrarse estas arañas.</w:t>
      </w:r>
    </w:p>
    <w:p w14:paraId="25D7DEDE" w14:textId="77777777" w:rsidR="009C09C7" w:rsidRPr="00C415A8"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r w:rsidRPr="00C415A8">
        <w:rPr>
          <w:rFonts w:ascii="Century Gothic" w:eastAsia="Century Gothic" w:hAnsi="Century Gothic" w:cs="Century Gothic"/>
          <w:b/>
          <w:color w:val="000000"/>
          <w:sz w:val="24"/>
          <w:szCs w:val="24"/>
        </w:rPr>
        <w:t>CONCLUSIONES</w:t>
      </w:r>
    </w:p>
    <w:p w14:paraId="658DA4B8" w14:textId="77777777" w:rsidR="009C09C7" w:rsidRPr="00C415A8" w:rsidRDefault="000F52BD" w:rsidP="001C6F89">
      <w:pPr>
        <w:spacing w:before="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t xml:space="preserve">El </w:t>
      </w:r>
      <w:proofErr w:type="spellStart"/>
      <w:r w:rsidR="00630E30">
        <w:rPr>
          <w:rFonts w:ascii="Century Gothic" w:eastAsia="Century Gothic" w:hAnsi="Century Gothic" w:cs="Century Gothic"/>
          <w:color w:val="282938"/>
          <w:sz w:val="24"/>
          <w:szCs w:val="24"/>
        </w:rPr>
        <w:t>l</w:t>
      </w:r>
      <w:r w:rsidRPr="00C415A8">
        <w:rPr>
          <w:rFonts w:ascii="Century Gothic" w:eastAsia="Century Gothic" w:hAnsi="Century Gothic" w:cs="Century Gothic"/>
          <w:color w:val="282938"/>
          <w:sz w:val="24"/>
          <w:szCs w:val="24"/>
        </w:rPr>
        <w:t>oxoscelismo</w:t>
      </w:r>
      <w:proofErr w:type="spellEnd"/>
      <w:r w:rsidRPr="00C415A8">
        <w:rPr>
          <w:rFonts w:ascii="Century Gothic" w:eastAsia="Century Gothic" w:hAnsi="Century Gothic" w:cs="Century Gothic"/>
          <w:color w:val="282938"/>
          <w:sz w:val="24"/>
          <w:szCs w:val="24"/>
        </w:rPr>
        <w:t xml:space="preserve"> es un problema de salud pública, Si bien es cierto que existe diagnósticos diferenciales la lesión necrótica es patognomónica de un </w:t>
      </w:r>
      <w:proofErr w:type="spellStart"/>
      <w:r w:rsidRPr="00C415A8">
        <w:rPr>
          <w:rFonts w:ascii="Century Gothic" w:eastAsia="Century Gothic" w:hAnsi="Century Gothic" w:cs="Century Gothic"/>
          <w:color w:val="282938"/>
          <w:sz w:val="24"/>
          <w:szCs w:val="24"/>
        </w:rPr>
        <w:t>loxoscelismo</w:t>
      </w:r>
      <w:proofErr w:type="spellEnd"/>
      <w:r w:rsidRPr="00C415A8">
        <w:rPr>
          <w:rFonts w:ascii="Century Gothic" w:eastAsia="Century Gothic" w:hAnsi="Century Gothic" w:cs="Century Gothic"/>
          <w:sz w:val="24"/>
          <w:szCs w:val="24"/>
        </w:rPr>
        <w:t xml:space="preserve">. </w:t>
      </w:r>
      <w:r w:rsidRPr="00C415A8">
        <w:rPr>
          <w:rFonts w:ascii="Century Gothic" w:eastAsia="Century Gothic" w:hAnsi="Century Gothic" w:cs="Century Gothic"/>
          <w:color w:val="282938"/>
          <w:sz w:val="24"/>
          <w:szCs w:val="24"/>
        </w:rPr>
        <w:t xml:space="preserve">La </w:t>
      </w:r>
      <w:r w:rsidR="00630E30" w:rsidRPr="00C415A8">
        <w:rPr>
          <w:rFonts w:ascii="Century Gothic" w:eastAsia="Century Gothic" w:hAnsi="Century Gothic" w:cs="Century Gothic"/>
          <w:color w:val="282938"/>
          <w:sz w:val="24"/>
          <w:szCs w:val="24"/>
        </w:rPr>
        <w:t>educación</w:t>
      </w:r>
      <w:r w:rsidRPr="00C415A8">
        <w:rPr>
          <w:rFonts w:ascii="Century Gothic" w:eastAsia="Century Gothic" w:hAnsi="Century Gothic" w:cs="Century Gothic"/>
          <w:color w:val="282938"/>
          <w:sz w:val="24"/>
          <w:szCs w:val="24"/>
        </w:rPr>
        <w:t xml:space="preserve"> respecto a las medidas que se deben tomar posterior a una mordedura de araña es indispensable; ya que a pesar de que la forma más frecuente de presentación sea la forma cutánea, no significa que no exista la probabilidad de que se manifieste la forma sistémica. </w:t>
      </w:r>
    </w:p>
    <w:p w14:paraId="05F50EEC" w14:textId="77777777" w:rsidR="009C09C7" w:rsidRPr="00C415A8" w:rsidRDefault="000F52BD" w:rsidP="001C6F89">
      <w:pPr>
        <w:spacing w:before="240" w:line="360" w:lineRule="auto"/>
        <w:ind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 xml:space="preserve">Se ha comprobado que el </w:t>
      </w:r>
      <w:r w:rsidR="00630E30" w:rsidRPr="00C415A8">
        <w:rPr>
          <w:rFonts w:ascii="Century Gothic" w:eastAsia="Century Gothic" w:hAnsi="Century Gothic" w:cs="Century Gothic"/>
          <w:color w:val="282938"/>
          <w:sz w:val="24"/>
          <w:szCs w:val="24"/>
        </w:rPr>
        <w:t>anti veneno</w:t>
      </w:r>
      <w:r w:rsidRPr="00C415A8">
        <w:rPr>
          <w:rFonts w:ascii="Century Gothic" w:eastAsia="Century Gothic" w:hAnsi="Century Gothic" w:cs="Century Gothic"/>
          <w:color w:val="282938"/>
          <w:sz w:val="24"/>
          <w:szCs w:val="24"/>
        </w:rPr>
        <w:t xml:space="preserve"> administrado de manera segura y oportuna permite limitar el cuadro clínico y evitar las manifestaciones sistémicas.</w:t>
      </w:r>
    </w:p>
    <w:p w14:paraId="254A32AD" w14:textId="77777777" w:rsidR="008D3C8D" w:rsidRPr="001C6F89" w:rsidRDefault="000F52BD" w:rsidP="001C6F89">
      <w:pPr>
        <w:spacing w:before="240" w:line="360" w:lineRule="auto"/>
        <w:ind w:right="382"/>
        <w:jc w:val="both"/>
        <w:rPr>
          <w:rFonts w:ascii="Century Gothic" w:eastAsia="Century Gothic" w:hAnsi="Century Gothic" w:cs="Century Gothic"/>
          <w:color w:val="282938"/>
          <w:sz w:val="24"/>
          <w:szCs w:val="24"/>
        </w:rPr>
      </w:pPr>
      <w:r w:rsidRPr="00C415A8">
        <w:rPr>
          <w:rFonts w:ascii="Century Gothic" w:eastAsia="Century Gothic" w:hAnsi="Century Gothic" w:cs="Century Gothic"/>
          <w:color w:val="282938"/>
          <w:sz w:val="24"/>
          <w:szCs w:val="24"/>
        </w:rPr>
        <w:t>En pacientes diabéticos es crucial el cuidado y el seguimiento de la cicatrización para evitar complicaciones.</w:t>
      </w:r>
    </w:p>
    <w:p w14:paraId="2A86E081" w14:textId="77777777" w:rsidR="008D3C8D" w:rsidRDefault="008D3C8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p>
    <w:p w14:paraId="135F7D8C" w14:textId="77777777" w:rsidR="001C6F89" w:rsidRDefault="001C6F89"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p>
    <w:p w14:paraId="51601EAD" w14:textId="77777777" w:rsidR="001C6F89" w:rsidRDefault="001C6F89"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p>
    <w:p w14:paraId="6F85C33D" w14:textId="77777777" w:rsidR="001C6F89" w:rsidRDefault="001C6F89"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p>
    <w:p w14:paraId="799FE6AE" w14:textId="77777777" w:rsidR="009C09C7" w:rsidRPr="00C415A8" w:rsidRDefault="000F52BD" w:rsidP="001C6F89">
      <w:pPr>
        <w:pBdr>
          <w:top w:val="nil"/>
          <w:left w:val="nil"/>
          <w:bottom w:val="nil"/>
          <w:right w:val="nil"/>
          <w:between w:val="nil"/>
        </w:pBdr>
        <w:spacing w:before="240" w:after="240" w:line="360" w:lineRule="auto"/>
        <w:ind w:right="382"/>
        <w:jc w:val="both"/>
        <w:rPr>
          <w:rFonts w:ascii="Century Gothic" w:eastAsia="Century Gothic" w:hAnsi="Century Gothic" w:cs="Century Gothic"/>
          <w:b/>
          <w:color w:val="000000"/>
          <w:sz w:val="24"/>
          <w:szCs w:val="24"/>
        </w:rPr>
      </w:pPr>
      <w:r w:rsidRPr="00C415A8">
        <w:rPr>
          <w:rFonts w:ascii="Century Gothic" w:eastAsia="Century Gothic" w:hAnsi="Century Gothic" w:cs="Century Gothic"/>
          <w:b/>
          <w:color w:val="000000"/>
          <w:sz w:val="24"/>
          <w:szCs w:val="24"/>
        </w:rPr>
        <w:lastRenderedPageBreak/>
        <w:t>BIBLIOGRAFÍA</w:t>
      </w:r>
    </w:p>
    <w:p w14:paraId="0661943B" w14:textId="77777777" w:rsidR="009C09C7" w:rsidRPr="00C415A8" w:rsidRDefault="000F52BD" w:rsidP="001C6F89">
      <w:pPr>
        <w:numPr>
          <w:ilvl w:val="0"/>
          <w:numId w:val="2"/>
        </w:numPr>
        <w:spacing w:before="240"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 xml:space="preserve">Sánchez-Olivas MA, Valencia-Zavala MP, Sánchez-Olivas JA, Sepúlveda-Velázquez G, Vega-Robledo G. </w:t>
      </w:r>
      <w:proofErr w:type="spellStart"/>
      <w:r w:rsidRPr="00C415A8">
        <w:rPr>
          <w:rFonts w:ascii="Century Gothic" w:eastAsia="Century Gothic" w:hAnsi="Century Gothic" w:cs="Century Gothic"/>
          <w:color w:val="282938"/>
          <w:sz w:val="24"/>
          <w:szCs w:val="24"/>
        </w:rPr>
        <w:t>Loxoscelismo</w:t>
      </w:r>
      <w:proofErr w:type="spellEnd"/>
      <w:r w:rsidRPr="00C415A8">
        <w:rPr>
          <w:rFonts w:ascii="Century Gothic" w:eastAsia="Century Gothic" w:hAnsi="Century Gothic" w:cs="Century Gothic"/>
          <w:color w:val="282938"/>
          <w:sz w:val="24"/>
          <w:szCs w:val="24"/>
        </w:rPr>
        <w:t xml:space="preserve"> cutáneo necrótico. Informe de un caso. Revista Mexicana de </w:t>
      </w:r>
      <w:proofErr w:type="gramStart"/>
      <w:r w:rsidRPr="00C415A8">
        <w:rPr>
          <w:rFonts w:ascii="Century Gothic" w:eastAsia="Century Gothic" w:hAnsi="Century Gothic" w:cs="Century Gothic"/>
          <w:color w:val="282938"/>
          <w:sz w:val="24"/>
          <w:szCs w:val="24"/>
        </w:rPr>
        <w:t>Urología .</w:t>
      </w:r>
      <w:proofErr w:type="gramEnd"/>
      <w:r w:rsidRPr="00C415A8">
        <w:rPr>
          <w:rFonts w:ascii="Century Gothic" w:eastAsia="Century Gothic" w:hAnsi="Century Gothic" w:cs="Century Gothic"/>
          <w:color w:val="282938"/>
          <w:sz w:val="24"/>
          <w:szCs w:val="24"/>
        </w:rPr>
        <w:t xml:space="preserve"> Julio de 2011;58(3):171-6.</w:t>
      </w:r>
    </w:p>
    <w:p w14:paraId="68804804" w14:textId="77777777" w:rsidR="009C09C7" w:rsidRPr="00C415A8" w:rsidRDefault="000F52BD" w:rsidP="001C6F89">
      <w:pPr>
        <w:numPr>
          <w:ilvl w:val="0"/>
          <w:numId w:val="2"/>
        </w:numPr>
        <w:spacing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 xml:space="preserve">Barra S, Vivanco P, </w:t>
      </w:r>
      <w:proofErr w:type="spellStart"/>
      <w:r w:rsidRPr="00C415A8">
        <w:rPr>
          <w:rFonts w:ascii="Century Gothic" w:eastAsia="Century Gothic" w:hAnsi="Century Gothic" w:cs="Century Gothic"/>
          <w:color w:val="282938"/>
          <w:sz w:val="24"/>
          <w:szCs w:val="24"/>
        </w:rPr>
        <w:t>Mix</w:t>
      </w:r>
      <w:proofErr w:type="spellEnd"/>
      <w:r w:rsidRPr="00C415A8">
        <w:rPr>
          <w:rFonts w:ascii="Century Gothic" w:eastAsia="Century Gothic" w:hAnsi="Century Gothic" w:cs="Century Gothic"/>
          <w:color w:val="282938"/>
          <w:sz w:val="24"/>
          <w:szCs w:val="24"/>
        </w:rPr>
        <w:t xml:space="preserve"> VA. </w:t>
      </w:r>
      <w:proofErr w:type="spellStart"/>
      <w:r w:rsidRPr="00C415A8">
        <w:rPr>
          <w:rFonts w:ascii="Century Gothic" w:eastAsia="Century Gothic" w:hAnsi="Century Gothic" w:cs="Century Gothic"/>
          <w:color w:val="282938"/>
          <w:sz w:val="24"/>
          <w:szCs w:val="24"/>
        </w:rPr>
        <w:t>Loxoscelismo</w:t>
      </w:r>
      <w:proofErr w:type="spellEnd"/>
      <w:r w:rsidRPr="00C415A8">
        <w:rPr>
          <w:rFonts w:ascii="Century Gothic" w:eastAsia="Century Gothic" w:hAnsi="Century Gothic" w:cs="Century Gothic"/>
          <w:color w:val="282938"/>
          <w:sz w:val="24"/>
          <w:szCs w:val="24"/>
        </w:rPr>
        <w:t xml:space="preserve">: revisión de la literatura a propósito de un caso. </w:t>
      </w:r>
      <w:proofErr w:type="spellStart"/>
      <w:r w:rsidRPr="00C415A8">
        <w:rPr>
          <w:rFonts w:ascii="Century Gothic" w:eastAsia="Century Gothic" w:hAnsi="Century Gothic" w:cs="Century Gothic"/>
          <w:color w:val="282938"/>
          <w:sz w:val="24"/>
          <w:szCs w:val="24"/>
        </w:rPr>
        <w:t>Rev</w:t>
      </w:r>
      <w:proofErr w:type="spell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Cienc</w:t>
      </w:r>
      <w:proofErr w:type="spellEnd"/>
      <w:r w:rsidRPr="00C415A8">
        <w:rPr>
          <w:rFonts w:ascii="Century Gothic" w:eastAsia="Century Gothic" w:hAnsi="Century Gothic" w:cs="Century Gothic"/>
          <w:color w:val="282938"/>
          <w:sz w:val="24"/>
          <w:szCs w:val="24"/>
        </w:rPr>
        <w:t xml:space="preserve"> </w:t>
      </w:r>
      <w:proofErr w:type="spellStart"/>
      <w:proofErr w:type="gramStart"/>
      <w:r w:rsidRPr="00C415A8">
        <w:rPr>
          <w:rFonts w:ascii="Century Gothic" w:eastAsia="Century Gothic" w:hAnsi="Century Gothic" w:cs="Century Gothic"/>
          <w:color w:val="282938"/>
          <w:sz w:val="24"/>
          <w:szCs w:val="24"/>
        </w:rPr>
        <w:t>Méd</w:t>
      </w:r>
      <w:proofErr w:type="spellEnd"/>
      <w:r w:rsidRPr="00C415A8">
        <w:rPr>
          <w:rFonts w:ascii="Century Gothic" w:eastAsia="Century Gothic" w:hAnsi="Century Gothic" w:cs="Century Gothic"/>
          <w:color w:val="282938"/>
          <w:sz w:val="24"/>
          <w:szCs w:val="24"/>
        </w:rPr>
        <w:t xml:space="preserve"> .</w:t>
      </w:r>
      <w:proofErr w:type="gramEnd"/>
      <w:r w:rsidRPr="00C415A8">
        <w:rPr>
          <w:rFonts w:ascii="Century Gothic" w:eastAsia="Century Gothic" w:hAnsi="Century Gothic" w:cs="Century Gothic"/>
          <w:color w:val="282938"/>
          <w:sz w:val="24"/>
          <w:szCs w:val="24"/>
        </w:rPr>
        <w:t xml:space="preserve"> 2022;47(2). Disponible en: https://www.elsevier.es/es-revista-revista-alergia-mexico-336-articulo-loxoscelismo-cutaneo-necrotico-informe-un-X0002515111345191</w:t>
      </w:r>
    </w:p>
    <w:p w14:paraId="1C579E38" w14:textId="77777777" w:rsidR="009C09C7" w:rsidRPr="00C415A8" w:rsidRDefault="000F52BD" w:rsidP="001C6F89">
      <w:pPr>
        <w:numPr>
          <w:ilvl w:val="0"/>
          <w:numId w:val="2"/>
        </w:numPr>
        <w:spacing w:line="360" w:lineRule="auto"/>
        <w:ind w:left="426" w:right="382"/>
        <w:jc w:val="both"/>
        <w:rPr>
          <w:rFonts w:ascii="Century Gothic" w:eastAsia="Century Gothic" w:hAnsi="Century Gothic" w:cs="Century Gothic"/>
          <w:sz w:val="24"/>
          <w:szCs w:val="24"/>
        </w:rPr>
      </w:pPr>
      <w:proofErr w:type="spellStart"/>
      <w:r w:rsidRPr="00C415A8">
        <w:rPr>
          <w:rFonts w:ascii="Century Gothic" w:eastAsia="Century Gothic" w:hAnsi="Century Gothic" w:cs="Century Gothic"/>
          <w:color w:val="282938"/>
          <w:sz w:val="24"/>
          <w:szCs w:val="24"/>
        </w:rPr>
        <w:t>Ccalla</w:t>
      </w:r>
      <w:proofErr w:type="spell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Ocsa</w:t>
      </w:r>
      <w:proofErr w:type="spellEnd"/>
      <w:r w:rsidRPr="00C415A8">
        <w:rPr>
          <w:rFonts w:ascii="Century Gothic" w:eastAsia="Century Gothic" w:hAnsi="Century Gothic" w:cs="Century Gothic"/>
          <w:color w:val="282938"/>
          <w:sz w:val="24"/>
          <w:szCs w:val="24"/>
        </w:rPr>
        <w:t xml:space="preserve"> YR, García Macote JG, </w:t>
      </w:r>
      <w:proofErr w:type="spellStart"/>
      <w:r w:rsidRPr="00C415A8">
        <w:rPr>
          <w:rFonts w:ascii="Century Gothic" w:eastAsia="Century Gothic" w:hAnsi="Century Gothic" w:cs="Century Gothic"/>
          <w:color w:val="282938"/>
          <w:sz w:val="24"/>
          <w:szCs w:val="24"/>
        </w:rPr>
        <w:t>Humpiri</w:t>
      </w:r>
      <w:proofErr w:type="spellEnd"/>
      <w:r w:rsidRPr="00C415A8">
        <w:rPr>
          <w:rFonts w:ascii="Century Gothic" w:eastAsia="Century Gothic" w:hAnsi="Century Gothic" w:cs="Century Gothic"/>
          <w:color w:val="282938"/>
          <w:sz w:val="24"/>
          <w:szCs w:val="24"/>
        </w:rPr>
        <w:t xml:space="preserve"> Tinta ZM, </w:t>
      </w:r>
      <w:proofErr w:type="spellStart"/>
      <w:r w:rsidRPr="00C415A8">
        <w:rPr>
          <w:rFonts w:ascii="Century Gothic" w:eastAsia="Century Gothic" w:hAnsi="Century Gothic" w:cs="Century Gothic"/>
          <w:color w:val="282938"/>
          <w:sz w:val="24"/>
          <w:szCs w:val="24"/>
        </w:rPr>
        <w:t>Qqueso</w:t>
      </w:r>
      <w:proofErr w:type="spellEnd"/>
      <w:r w:rsidRPr="00C415A8">
        <w:rPr>
          <w:rFonts w:ascii="Century Gothic" w:eastAsia="Century Gothic" w:hAnsi="Century Gothic" w:cs="Century Gothic"/>
          <w:color w:val="282938"/>
          <w:sz w:val="24"/>
          <w:szCs w:val="24"/>
        </w:rPr>
        <w:t xml:space="preserve"> Rodríguez D, </w:t>
      </w:r>
      <w:proofErr w:type="spellStart"/>
      <w:r w:rsidRPr="00C415A8">
        <w:rPr>
          <w:rFonts w:ascii="Century Gothic" w:eastAsia="Century Gothic" w:hAnsi="Century Gothic" w:cs="Century Gothic"/>
          <w:color w:val="282938"/>
          <w:sz w:val="24"/>
          <w:szCs w:val="24"/>
        </w:rPr>
        <w:t>Zuñiga</w:t>
      </w:r>
      <w:proofErr w:type="spellEnd"/>
      <w:r w:rsidRPr="00C415A8">
        <w:rPr>
          <w:rFonts w:ascii="Century Gothic" w:eastAsia="Century Gothic" w:hAnsi="Century Gothic" w:cs="Century Gothic"/>
          <w:color w:val="282938"/>
          <w:sz w:val="24"/>
          <w:szCs w:val="24"/>
        </w:rPr>
        <w:t xml:space="preserve"> Quispe CG. </w:t>
      </w:r>
      <w:proofErr w:type="spellStart"/>
      <w:r w:rsidRPr="00C415A8">
        <w:rPr>
          <w:rFonts w:ascii="Century Gothic" w:eastAsia="Century Gothic" w:hAnsi="Century Gothic" w:cs="Century Gothic"/>
          <w:color w:val="282938"/>
          <w:sz w:val="24"/>
          <w:szCs w:val="24"/>
        </w:rPr>
        <w:t>Aracneidismo</w:t>
      </w:r>
      <w:proofErr w:type="spellEnd"/>
      <w:r w:rsidRPr="00C415A8">
        <w:rPr>
          <w:rFonts w:ascii="Century Gothic" w:eastAsia="Century Gothic" w:hAnsi="Century Gothic" w:cs="Century Gothic"/>
          <w:color w:val="282938"/>
          <w:sz w:val="24"/>
          <w:szCs w:val="24"/>
        </w:rPr>
        <w:t xml:space="preserve"> y ofidismo por </w:t>
      </w:r>
      <w:proofErr w:type="spellStart"/>
      <w:r w:rsidRPr="00C415A8">
        <w:rPr>
          <w:rFonts w:ascii="Century Gothic" w:eastAsia="Century Gothic" w:hAnsi="Century Gothic" w:cs="Century Gothic"/>
          <w:color w:val="282938"/>
          <w:sz w:val="24"/>
          <w:szCs w:val="24"/>
        </w:rPr>
        <w:t>Bothrops</w:t>
      </w:r>
      <w:proofErr w:type="spellEnd"/>
      <w:r w:rsidRPr="00C415A8">
        <w:rPr>
          <w:rFonts w:ascii="Century Gothic" w:eastAsia="Century Gothic" w:hAnsi="Century Gothic" w:cs="Century Gothic"/>
          <w:color w:val="282938"/>
          <w:sz w:val="24"/>
          <w:szCs w:val="24"/>
        </w:rPr>
        <w:t>: una revisión bibliográfica. Rev. SITUA</w:t>
      </w:r>
    </w:p>
    <w:p w14:paraId="685D78DF" w14:textId="77777777" w:rsidR="009C09C7" w:rsidRPr="00C415A8" w:rsidRDefault="000F52BD" w:rsidP="001C6F89">
      <w:pPr>
        <w:numPr>
          <w:ilvl w:val="0"/>
          <w:numId w:val="2"/>
        </w:numPr>
        <w:spacing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 xml:space="preserve">Aguiar Martínez L, González P, Sarmiento Acuña K, Salamanca Díaz N, Camilo Segura Salguero J, </w:t>
      </w:r>
      <w:proofErr w:type="spellStart"/>
      <w:r w:rsidRPr="00C415A8">
        <w:rPr>
          <w:rFonts w:ascii="Century Gothic" w:eastAsia="Century Gothic" w:hAnsi="Century Gothic" w:cs="Century Gothic"/>
          <w:color w:val="282938"/>
          <w:sz w:val="24"/>
          <w:szCs w:val="24"/>
        </w:rPr>
        <w:t>Vargás</w:t>
      </w:r>
      <w:proofErr w:type="spellEnd"/>
      <w:r w:rsidRPr="00C415A8">
        <w:rPr>
          <w:rFonts w:ascii="Century Gothic" w:eastAsia="Century Gothic" w:hAnsi="Century Gothic" w:cs="Century Gothic"/>
          <w:color w:val="282938"/>
          <w:sz w:val="24"/>
          <w:szCs w:val="24"/>
        </w:rPr>
        <w:t xml:space="preserve"> Guerrero LA. Accidente por araña </w:t>
      </w:r>
      <w:proofErr w:type="spellStart"/>
      <w:r w:rsidRPr="00C415A8">
        <w:rPr>
          <w:rFonts w:ascii="Century Gothic" w:eastAsia="Century Gothic" w:hAnsi="Century Gothic" w:cs="Century Gothic"/>
          <w:color w:val="282938"/>
          <w:sz w:val="24"/>
          <w:szCs w:val="24"/>
        </w:rPr>
        <w:t>Loxosceles</w:t>
      </w:r>
      <w:proofErr w:type="spell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spp</w:t>
      </w:r>
      <w:proofErr w:type="spellEnd"/>
      <w:r w:rsidRPr="00C415A8">
        <w:rPr>
          <w:rFonts w:ascii="Century Gothic" w:eastAsia="Century Gothic" w:hAnsi="Century Gothic" w:cs="Century Gothic"/>
          <w:color w:val="282938"/>
          <w:sz w:val="24"/>
          <w:szCs w:val="24"/>
        </w:rPr>
        <w:t xml:space="preserve">.: reporte de caso y revisión de literatura. </w:t>
      </w:r>
      <w:proofErr w:type="spellStart"/>
      <w:r w:rsidRPr="00C415A8">
        <w:rPr>
          <w:rFonts w:ascii="Century Gothic" w:eastAsia="Century Gothic" w:hAnsi="Century Gothic" w:cs="Century Gothic"/>
          <w:color w:val="282938"/>
          <w:sz w:val="24"/>
          <w:szCs w:val="24"/>
        </w:rPr>
        <w:t>Univ</w:t>
      </w:r>
      <w:proofErr w:type="spell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Méd</w:t>
      </w:r>
      <w:proofErr w:type="spellEnd"/>
      <w:r w:rsidRPr="00C415A8">
        <w:rPr>
          <w:rFonts w:ascii="Century Gothic" w:eastAsia="Century Gothic" w:hAnsi="Century Gothic" w:cs="Century Gothic"/>
          <w:color w:val="282938"/>
          <w:sz w:val="24"/>
          <w:szCs w:val="24"/>
        </w:rPr>
        <w:t xml:space="preserve"> </w:t>
      </w:r>
      <w:proofErr w:type="gramStart"/>
      <w:r w:rsidRPr="00C415A8">
        <w:rPr>
          <w:rFonts w:ascii="Century Gothic" w:eastAsia="Century Gothic" w:hAnsi="Century Gothic" w:cs="Century Gothic"/>
          <w:color w:val="282938"/>
          <w:sz w:val="24"/>
          <w:szCs w:val="24"/>
        </w:rPr>
        <w:t>Colombia .</w:t>
      </w:r>
      <w:proofErr w:type="gramEnd"/>
      <w:r w:rsidRPr="00C415A8">
        <w:rPr>
          <w:rFonts w:ascii="Century Gothic" w:eastAsia="Century Gothic" w:hAnsi="Century Gothic" w:cs="Century Gothic"/>
          <w:color w:val="282938"/>
          <w:sz w:val="24"/>
          <w:szCs w:val="24"/>
        </w:rPr>
        <w:t xml:space="preserve"> 2014 ;55(3):340-8.</w:t>
      </w:r>
    </w:p>
    <w:p w14:paraId="64F2FB7F" w14:textId="77777777" w:rsidR="009C09C7" w:rsidRPr="00C415A8" w:rsidRDefault="000F52BD" w:rsidP="001C6F89">
      <w:pPr>
        <w:numPr>
          <w:ilvl w:val="0"/>
          <w:numId w:val="2"/>
        </w:numPr>
        <w:spacing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Gerencia Regional de Salud Cusco, Dirección Ejecutiva de Inteligencia Sanitaria, Dirección de Epidemiología e Investigación. Boletín de vigilancia en Salud Pública/</w:t>
      </w:r>
      <w:proofErr w:type="gramStart"/>
      <w:r w:rsidRPr="00C415A8">
        <w:rPr>
          <w:rFonts w:ascii="Century Gothic" w:eastAsia="Century Gothic" w:hAnsi="Century Gothic" w:cs="Century Gothic"/>
          <w:color w:val="282938"/>
          <w:sz w:val="24"/>
          <w:szCs w:val="24"/>
        </w:rPr>
        <w:t>EPI .</w:t>
      </w:r>
      <w:proofErr w:type="gramEnd"/>
      <w:r w:rsidRPr="00C415A8">
        <w:rPr>
          <w:rFonts w:ascii="Century Gothic" w:eastAsia="Century Gothic" w:hAnsi="Century Gothic" w:cs="Century Gothic"/>
          <w:color w:val="282938"/>
          <w:sz w:val="24"/>
          <w:szCs w:val="24"/>
        </w:rPr>
        <w:t xml:space="preserve"> vol. XXIV, Actualización hasta la SE </w:t>
      </w:r>
      <w:proofErr w:type="spellStart"/>
      <w:r w:rsidRPr="00C415A8">
        <w:rPr>
          <w:rFonts w:ascii="Century Gothic" w:eastAsia="Century Gothic" w:hAnsi="Century Gothic" w:cs="Century Gothic"/>
          <w:color w:val="282938"/>
          <w:sz w:val="24"/>
          <w:szCs w:val="24"/>
        </w:rPr>
        <w:t>N°</w:t>
      </w:r>
      <w:proofErr w:type="spellEnd"/>
      <w:r w:rsidRPr="00C415A8">
        <w:rPr>
          <w:rFonts w:ascii="Century Gothic" w:eastAsia="Century Gothic" w:hAnsi="Century Gothic" w:cs="Century Gothic"/>
          <w:color w:val="282938"/>
          <w:sz w:val="24"/>
          <w:szCs w:val="24"/>
        </w:rPr>
        <w:t xml:space="preserve"> 40-2024. Cusco. 2024.</w:t>
      </w:r>
    </w:p>
    <w:p w14:paraId="58A713F9" w14:textId="77777777" w:rsidR="009C09C7" w:rsidRPr="00C415A8" w:rsidRDefault="000F52BD" w:rsidP="001C6F89">
      <w:pPr>
        <w:numPr>
          <w:ilvl w:val="0"/>
          <w:numId w:val="2"/>
        </w:numPr>
        <w:spacing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Centro Nacional de Epidemiologia, Prevención y Control de Enfermedades –MINSA. Hasta la SE 01 -2024</w:t>
      </w:r>
    </w:p>
    <w:p w14:paraId="1CB61352" w14:textId="77777777" w:rsidR="009C09C7" w:rsidRPr="00CF5473" w:rsidRDefault="000F52BD" w:rsidP="001C6F89">
      <w:pPr>
        <w:numPr>
          <w:ilvl w:val="0"/>
          <w:numId w:val="2"/>
        </w:numPr>
        <w:spacing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DIRECCIÓN GENERAL DE SALUD DE LAS PERSONAS. DIRECCI</w:t>
      </w:r>
      <w:r w:rsidRPr="00C415A8">
        <w:rPr>
          <w:rFonts w:ascii="Calibri" w:eastAsia="Calibri" w:hAnsi="Calibri" w:cs="Calibri"/>
          <w:color w:val="282938"/>
          <w:sz w:val="24"/>
          <w:szCs w:val="24"/>
        </w:rPr>
        <w:t>Ṕ</w:t>
      </w:r>
      <w:r w:rsidRPr="00C415A8">
        <w:rPr>
          <w:rFonts w:ascii="Century Gothic" w:eastAsia="Century Gothic" w:hAnsi="Century Gothic" w:cs="Century Gothic"/>
          <w:color w:val="282938"/>
          <w:sz w:val="24"/>
          <w:szCs w:val="24"/>
        </w:rPr>
        <w:t>N EJECUTIVA DE ATENCIÓN INTEGRAL DE SALUD. NORMA TÉCNICA SOBRE PREVENCIÓN Y TRATAMEITNO DE ACCIDENTES POR ANIMALES PONZOÑOSOS</w:t>
      </w:r>
      <w:proofErr w:type="gramStart"/>
      <w:r w:rsidRPr="00C415A8">
        <w:rPr>
          <w:rFonts w:ascii="Century Gothic" w:eastAsia="Century Gothic" w:hAnsi="Century Gothic" w:cs="Century Gothic"/>
          <w:color w:val="282938"/>
          <w:sz w:val="24"/>
          <w:szCs w:val="24"/>
        </w:rPr>
        <w:t>. .</w:t>
      </w:r>
      <w:proofErr w:type="gramEnd"/>
      <w:r w:rsidRPr="00C415A8">
        <w:rPr>
          <w:rFonts w:ascii="Century Gothic" w:eastAsia="Century Gothic" w:hAnsi="Century Gothic" w:cs="Century Gothic"/>
          <w:color w:val="282938"/>
          <w:sz w:val="24"/>
          <w:szCs w:val="24"/>
        </w:rPr>
        <w:t xml:space="preserve"> LIMA PERÚ. 2005</w:t>
      </w:r>
    </w:p>
    <w:p w14:paraId="100FFECB" w14:textId="77777777" w:rsidR="00CF5473" w:rsidRDefault="00CF5473" w:rsidP="001C6F89">
      <w:pPr>
        <w:numPr>
          <w:ilvl w:val="0"/>
          <w:numId w:val="2"/>
        </w:numPr>
        <w:spacing w:line="360" w:lineRule="auto"/>
        <w:ind w:left="426" w:right="382"/>
        <w:jc w:val="both"/>
        <w:rPr>
          <w:rFonts w:ascii="Century Gothic" w:eastAsia="Century Gothic" w:hAnsi="Century Gothic" w:cs="Century Gothic"/>
          <w:sz w:val="24"/>
          <w:szCs w:val="24"/>
        </w:rPr>
      </w:pPr>
      <w:proofErr w:type="spellStart"/>
      <w:r w:rsidRPr="00CF5473">
        <w:rPr>
          <w:rFonts w:ascii="Century Gothic" w:eastAsia="Century Gothic" w:hAnsi="Century Gothic" w:cs="Century Gothic"/>
          <w:sz w:val="24"/>
          <w:szCs w:val="24"/>
        </w:rPr>
        <w:t>Olan</w:t>
      </w:r>
      <w:proofErr w:type="spellEnd"/>
      <w:r w:rsidRPr="00CF5473">
        <w:rPr>
          <w:rFonts w:ascii="Century Gothic" w:eastAsia="Century Gothic" w:hAnsi="Century Gothic" w:cs="Century Gothic"/>
          <w:sz w:val="24"/>
          <w:szCs w:val="24"/>
        </w:rPr>
        <w:t xml:space="preserve"> De Los Santos AI, Manzo Castrejón HA, Corona Díaz E, Hurtado Miranda GF, Franco Ponce LE, Arreola Pérez JD, et al. Manejo quirúrgico versus tratamiento médico en </w:t>
      </w:r>
      <w:proofErr w:type="spellStart"/>
      <w:r w:rsidRPr="00CF5473">
        <w:rPr>
          <w:rFonts w:ascii="Century Gothic" w:eastAsia="Century Gothic" w:hAnsi="Century Gothic" w:cs="Century Gothic"/>
          <w:sz w:val="24"/>
          <w:szCs w:val="24"/>
        </w:rPr>
        <w:t>loxoscelismo</w:t>
      </w:r>
      <w:proofErr w:type="spellEnd"/>
      <w:r w:rsidRPr="00CF5473">
        <w:rPr>
          <w:rFonts w:ascii="Century Gothic" w:eastAsia="Century Gothic" w:hAnsi="Century Gothic" w:cs="Century Gothic"/>
          <w:sz w:val="24"/>
          <w:szCs w:val="24"/>
        </w:rPr>
        <w:t xml:space="preserve"> cutáneo: revisión sistemática y actualización. </w:t>
      </w:r>
      <w:proofErr w:type="spellStart"/>
      <w:r w:rsidRPr="00CF5473">
        <w:rPr>
          <w:rFonts w:ascii="Century Gothic" w:eastAsia="Century Gothic" w:hAnsi="Century Gothic" w:cs="Century Gothic"/>
          <w:sz w:val="24"/>
          <w:szCs w:val="24"/>
        </w:rPr>
        <w:t>Cir</w:t>
      </w:r>
      <w:proofErr w:type="spellEnd"/>
      <w:r w:rsidRPr="00CF5473">
        <w:rPr>
          <w:rFonts w:ascii="Century Gothic" w:eastAsia="Century Gothic" w:hAnsi="Century Gothic" w:cs="Century Gothic"/>
          <w:sz w:val="24"/>
          <w:szCs w:val="24"/>
        </w:rPr>
        <w:t xml:space="preserve"> Gen. 2023;45(3</w:t>
      </w:r>
      <w:proofErr w:type="gramStart"/>
      <w:r w:rsidRPr="00CF5473">
        <w:rPr>
          <w:rFonts w:ascii="Century Gothic" w:eastAsia="Century Gothic" w:hAnsi="Century Gothic" w:cs="Century Gothic"/>
          <w:sz w:val="24"/>
          <w:szCs w:val="24"/>
        </w:rPr>
        <w:t>):[</w:t>
      </w:r>
      <w:proofErr w:type="gramEnd"/>
      <w:r w:rsidRPr="00CF5473">
        <w:rPr>
          <w:rFonts w:ascii="Century Gothic" w:eastAsia="Century Gothic" w:hAnsi="Century Gothic" w:cs="Century Gothic"/>
          <w:sz w:val="24"/>
          <w:szCs w:val="24"/>
        </w:rPr>
        <w:t xml:space="preserve">jul./sep.]. Disponible en: </w:t>
      </w:r>
      <w:hyperlink r:id="rId11" w:history="1">
        <w:r w:rsidRPr="00CC7CD5">
          <w:rPr>
            <w:rStyle w:val="Hipervnculo"/>
            <w:rFonts w:ascii="Century Gothic" w:eastAsia="Century Gothic" w:hAnsi="Century Gothic" w:cs="Century Gothic"/>
            <w:sz w:val="24"/>
            <w:szCs w:val="24"/>
          </w:rPr>
          <w:t>https://doi.org/10.35366/112925</w:t>
        </w:r>
      </w:hyperlink>
    </w:p>
    <w:p w14:paraId="50AE6898" w14:textId="77777777" w:rsidR="00CF5473" w:rsidRDefault="00CF5473" w:rsidP="001C6F89">
      <w:pPr>
        <w:numPr>
          <w:ilvl w:val="0"/>
          <w:numId w:val="2"/>
        </w:numPr>
        <w:spacing w:line="360" w:lineRule="auto"/>
        <w:ind w:left="426" w:right="382"/>
        <w:jc w:val="both"/>
        <w:rPr>
          <w:rFonts w:ascii="Century Gothic" w:eastAsia="Century Gothic" w:hAnsi="Century Gothic" w:cs="Century Gothic"/>
          <w:sz w:val="24"/>
          <w:szCs w:val="24"/>
        </w:rPr>
      </w:pPr>
      <w:r w:rsidRPr="00CF5473">
        <w:rPr>
          <w:rFonts w:ascii="Century Gothic" w:eastAsia="Century Gothic" w:hAnsi="Century Gothic" w:cs="Century Gothic"/>
          <w:sz w:val="24"/>
          <w:szCs w:val="24"/>
        </w:rPr>
        <w:lastRenderedPageBreak/>
        <w:t xml:space="preserve">Calderón W, Mora Godoy R, </w:t>
      </w:r>
      <w:proofErr w:type="spellStart"/>
      <w:r w:rsidRPr="00CF5473">
        <w:rPr>
          <w:rFonts w:ascii="Century Gothic" w:eastAsia="Century Gothic" w:hAnsi="Century Gothic" w:cs="Century Gothic"/>
          <w:sz w:val="24"/>
          <w:szCs w:val="24"/>
        </w:rPr>
        <w:t>Obaid</w:t>
      </w:r>
      <w:proofErr w:type="spellEnd"/>
      <w:r w:rsidRPr="00CF5473">
        <w:rPr>
          <w:rFonts w:ascii="Century Gothic" w:eastAsia="Century Gothic" w:hAnsi="Century Gothic" w:cs="Century Gothic"/>
          <w:sz w:val="24"/>
          <w:szCs w:val="24"/>
        </w:rPr>
        <w:t xml:space="preserve"> García M, Camacho Martino J, </w:t>
      </w:r>
      <w:proofErr w:type="spellStart"/>
      <w:r w:rsidRPr="00CF5473">
        <w:rPr>
          <w:rFonts w:ascii="Century Gothic" w:eastAsia="Century Gothic" w:hAnsi="Century Gothic" w:cs="Century Gothic"/>
          <w:sz w:val="24"/>
          <w:szCs w:val="24"/>
        </w:rPr>
        <w:t>Guler</w:t>
      </w:r>
      <w:proofErr w:type="spellEnd"/>
      <w:r w:rsidRPr="00CF5473">
        <w:rPr>
          <w:rFonts w:ascii="Century Gothic" w:eastAsia="Century Gothic" w:hAnsi="Century Gothic" w:cs="Century Gothic"/>
          <w:sz w:val="24"/>
          <w:szCs w:val="24"/>
        </w:rPr>
        <w:t xml:space="preserve"> </w:t>
      </w:r>
      <w:proofErr w:type="spellStart"/>
      <w:r w:rsidRPr="00CF5473">
        <w:rPr>
          <w:rFonts w:ascii="Century Gothic" w:eastAsia="Century Gothic" w:hAnsi="Century Gothic" w:cs="Century Gothic"/>
          <w:sz w:val="24"/>
          <w:szCs w:val="24"/>
        </w:rPr>
        <w:t>Gonzalez</w:t>
      </w:r>
      <w:proofErr w:type="spellEnd"/>
      <w:r w:rsidRPr="00CF5473">
        <w:rPr>
          <w:rFonts w:ascii="Century Gothic" w:eastAsia="Century Gothic" w:hAnsi="Century Gothic" w:cs="Century Gothic"/>
          <w:sz w:val="24"/>
          <w:szCs w:val="24"/>
        </w:rPr>
        <w:t xml:space="preserve"> K, Lombardi Azócar J, Subiabre R. Tratamiento quirúrgico de las Ulceras por </w:t>
      </w:r>
      <w:proofErr w:type="spellStart"/>
      <w:r w:rsidRPr="00CF5473">
        <w:rPr>
          <w:rFonts w:ascii="Century Gothic" w:eastAsia="Century Gothic" w:hAnsi="Century Gothic" w:cs="Century Gothic"/>
          <w:sz w:val="24"/>
          <w:szCs w:val="24"/>
        </w:rPr>
        <w:t>radionecrosis</w:t>
      </w:r>
      <w:proofErr w:type="spellEnd"/>
      <w:r w:rsidRPr="00CF5473">
        <w:rPr>
          <w:rFonts w:ascii="Century Gothic" w:eastAsia="Century Gothic" w:hAnsi="Century Gothic" w:cs="Century Gothic"/>
          <w:sz w:val="24"/>
          <w:szCs w:val="24"/>
        </w:rPr>
        <w:t xml:space="preserve"> con colgajos musculocutáneos y </w:t>
      </w:r>
      <w:proofErr w:type="spellStart"/>
      <w:r w:rsidRPr="00CF5473">
        <w:rPr>
          <w:rFonts w:ascii="Century Gothic" w:eastAsia="Century Gothic" w:hAnsi="Century Gothic" w:cs="Century Gothic"/>
          <w:sz w:val="24"/>
          <w:szCs w:val="24"/>
        </w:rPr>
        <w:t>fasciocutáneos</w:t>
      </w:r>
      <w:proofErr w:type="spellEnd"/>
      <w:proofErr w:type="gramStart"/>
      <w:r w:rsidRPr="00CF5473">
        <w:rPr>
          <w:rFonts w:ascii="Century Gothic" w:eastAsia="Century Gothic" w:hAnsi="Century Gothic" w:cs="Century Gothic"/>
          <w:sz w:val="24"/>
          <w:szCs w:val="24"/>
        </w:rPr>
        <w:t xml:space="preserve"> ..</w:t>
      </w:r>
      <w:proofErr w:type="gramEnd"/>
      <w:r w:rsidRPr="00CF5473">
        <w:rPr>
          <w:rFonts w:ascii="Century Gothic" w:eastAsia="Century Gothic" w:hAnsi="Century Gothic" w:cs="Century Gothic"/>
          <w:sz w:val="24"/>
          <w:szCs w:val="24"/>
        </w:rPr>
        <w:t xml:space="preserve"> </w:t>
      </w:r>
      <w:proofErr w:type="spellStart"/>
      <w:r w:rsidRPr="00CF5473">
        <w:rPr>
          <w:rFonts w:ascii="Century Gothic" w:eastAsia="Century Gothic" w:hAnsi="Century Gothic" w:cs="Century Gothic"/>
          <w:sz w:val="24"/>
          <w:szCs w:val="24"/>
        </w:rPr>
        <w:t>Rev</w:t>
      </w:r>
      <w:proofErr w:type="spellEnd"/>
      <w:r w:rsidRPr="00CF5473">
        <w:rPr>
          <w:rFonts w:ascii="Century Gothic" w:eastAsia="Century Gothic" w:hAnsi="Century Gothic" w:cs="Century Gothic"/>
          <w:sz w:val="24"/>
          <w:szCs w:val="24"/>
        </w:rPr>
        <w:t xml:space="preserve"> </w:t>
      </w:r>
      <w:proofErr w:type="gramStart"/>
      <w:r w:rsidRPr="00CF5473">
        <w:rPr>
          <w:rFonts w:ascii="Century Gothic" w:eastAsia="Century Gothic" w:hAnsi="Century Gothic" w:cs="Century Gothic"/>
          <w:sz w:val="24"/>
          <w:szCs w:val="24"/>
        </w:rPr>
        <w:t>Cir..</w:t>
      </w:r>
      <w:proofErr w:type="gramEnd"/>
      <w:r w:rsidRPr="00CF5473">
        <w:rPr>
          <w:rFonts w:ascii="Century Gothic" w:eastAsia="Century Gothic" w:hAnsi="Century Gothic" w:cs="Century Gothic"/>
          <w:sz w:val="24"/>
          <w:szCs w:val="24"/>
        </w:rPr>
        <w:t xml:space="preserve"> 2022;74(1). Disponible en: doi:10.35687/s2452-45492022001987</w:t>
      </w:r>
      <w:r>
        <w:rPr>
          <w:rFonts w:ascii="Century Gothic" w:eastAsia="Century Gothic" w:hAnsi="Century Gothic" w:cs="Century Gothic"/>
          <w:sz w:val="24"/>
          <w:szCs w:val="24"/>
        </w:rPr>
        <w:t xml:space="preserve"> </w:t>
      </w:r>
      <w:r w:rsidRPr="00CF5473">
        <w:rPr>
          <w:rFonts w:ascii="Century Gothic" w:eastAsia="Century Gothic" w:hAnsi="Century Gothic" w:cs="Century Gothic"/>
          <w:sz w:val="24"/>
          <w:szCs w:val="24"/>
        </w:rPr>
        <w:t>[</w:t>
      </w:r>
      <w:proofErr w:type="spellStart"/>
      <w:r w:rsidRPr="00CF5473">
        <w:rPr>
          <w:rFonts w:ascii="Century Gothic" w:eastAsia="Century Gothic" w:hAnsi="Century Gothic" w:cs="Century Gothic"/>
          <w:sz w:val="24"/>
          <w:szCs w:val="24"/>
        </w:rPr>
        <w:t>Accessed</w:t>
      </w:r>
      <w:proofErr w:type="spellEnd"/>
      <w:r w:rsidRPr="00CF5473">
        <w:rPr>
          <w:rFonts w:ascii="Century Gothic" w:eastAsia="Century Gothic" w:hAnsi="Century Gothic" w:cs="Century Gothic"/>
          <w:sz w:val="24"/>
          <w:szCs w:val="24"/>
        </w:rPr>
        <w:t xml:space="preserve"> 19 </w:t>
      </w:r>
      <w:r>
        <w:rPr>
          <w:rFonts w:ascii="Century Gothic" w:eastAsia="Century Gothic" w:hAnsi="Century Gothic" w:cs="Century Gothic"/>
          <w:sz w:val="24"/>
          <w:szCs w:val="24"/>
        </w:rPr>
        <w:t>oct</w:t>
      </w:r>
      <w:r w:rsidRPr="00CF5473">
        <w:rPr>
          <w:rFonts w:ascii="Century Gothic" w:eastAsia="Century Gothic" w:hAnsi="Century Gothic" w:cs="Century Gothic"/>
          <w:sz w:val="24"/>
          <w:szCs w:val="24"/>
        </w:rPr>
        <w:t>. 2024].</w:t>
      </w:r>
    </w:p>
    <w:p w14:paraId="4DEF678F" w14:textId="77777777" w:rsidR="00CF5473" w:rsidRPr="00C415A8" w:rsidRDefault="00CF5473" w:rsidP="001C6F89">
      <w:pPr>
        <w:numPr>
          <w:ilvl w:val="0"/>
          <w:numId w:val="2"/>
        </w:numPr>
        <w:spacing w:line="360" w:lineRule="auto"/>
        <w:ind w:left="426" w:right="382"/>
        <w:jc w:val="both"/>
        <w:rPr>
          <w:rFonts w:ascii="Century Gothic" w:eastAsia="Century Gothic" w:hAnsi="Century Gothic" w:cs="Century Gothic"/>
          <w:sz w:val="24"/>
          <w:szCs w:val="24"/>
        </w:rPr>
      </w:pPr>
      <w:proofErr w:type="spellStart"/>
      <w:r w:rsidRPr="00CF5473">
        <w:rPr>
          <w:rFonts w:ascii="Century Gothic" w:eastAsia="Century Gothic" w:hAnsi="Century Gothic" w:cs="Century Gothic"/>
          <w:sz w:val="24"/>
          <w:szCs w:val="24"/>
        </w:rPr>
        <w:t>Droppelmann</w:t>
      </w:r>
      <w:proofErr w:type="spellEnd"/>
      <w:r w:rsidRPr="00CF5473">
        <w:rPr>
          <w:rFonts w:ascii="Century Gothic" w:eastAsia="Century Gothic" w:hAnsi="Century Gothic" w:cs="Century Gothic"/>
          <w:sz w:val="24"/>
          <w:szCs w:val="24"/>
        </w:rPr>
        <w:t xml:space="preserve"> K, </w:t>
      </w:r>
      <w:proofErr w:type="spellStart"/>
      <w:r w:rsidRPr="00CF5473">
        <w:rPr>
          <w:rFonts w:ascii="Century Gothic" w:eastAsia="Century Gothic" w:hAnsi="Century Gothic" w:cs="Century Gothic"/>
          <w:sz w:val="24"/>
          <w:szCs w:val="24"/>
        </w:rPr>
        <w:t>Majluf</w:t>
      </w:r>
      <w:proofErr w:type="spellEnd"/>
      <w:r w:rsidRPr="00CF5473">
        <w:rPr>
          <w:rFonts w:ascii="Century Gothic" w:eastAsia="Century Gothic" w:hAnsi="Century Gothic" w:cs="Century Gothic"/>
          <w:sz w:val="24"/>
          <w:szCs w:val="24"/>
        </w:rPr>
        <w:t xml:space="preserve">-Cáceres P, Sabatini-Ugarte N, Valle E, Herrera H, Acuña D. Caracterización clínica y epidemiológica de 200 pacientes con </w:t>
      </w:r>
      <w:proofErr w:type="spellStart"/>
      <w:r w:rsidRPr="00CF5473">
        <w:rPr>
          <w:rFonts w:ascii="Century Gothic" w:eastAsia="Century Gothic" w:hAnsi="Century Gothic" w:cs="Century Gothic"/>
          <w:sz w:val="24"/>
          <w:szCs w:val="24"/>
        </w:rPr>
        <w:t>loxoscelismo</w:t>
      </w:r>
      <w:proofErr w:type="spellEnd"/>
      <w:r w:rsidRPr="00CF5473">
        <w:rPr>
          <w:rFonts w:ascii="Century Gothic" w:eastAsia="Century Gothic" w:hAnsi="Century Gothic" w:cs="Century Gothic"/>
          <w:sz w:val="24"/>
          <w:szCs w:val="24"/>
        </w:rPr>
        <w:t xml:space="preserve"> cutáneo y cutáneo visceral. </w:t>
      </w:r>
      <w:proofErr w:type="spellStart"/>
      <w:r w:rsidRPr="00CF5473">
        <w:rPr>
          <w:rFonts w:ascii="Century Gothic" w:eastAsia="Century Gothic" w:hAnsi="Century Gothic" w:cs="Century Gothic"/>
          <w:sz w:val="24"/>
          <w:szCs w:val="24"/>
        </w:rPr>
        <w:t>Rev</w:t>
      </w:r>
      <w:proofErr w:type="spellEnd"/>
      <w:r w:rsidRPr="00CF5473">
        <w:rPr>
          <w:rFonts w:ascii="Century Gothic" w:eastAsia="Century Gothic" w:hAnsi="Century Gothic" w:cs="Century Gothic"/>
          <w:sz w:val="24"/>
          <w:szCs w:val="24"/>
        </w:rPr>
        <w:t xml:space="preserve"> </w:t>
      </w:r>
      <w:proofErr w:type="spellStart"/>
      <w:r w:rsidRPr="00CF5473">
        <w:rPr>
          <w:rFonts w:ascii="Century Gothic" w:eastAsia="Century Gothic" w:hAnsi="Century Gothic" w:cs="Century Gothic"/>
          <w:sz w:val="24"/>
          <w:szCs w:val="24"/>
        </w:rPr>
        <w:t>Méd</w:t>
      </w:r>
      <w:proofErr w:type="spellEnd"/>
      <w:r w:rsidRPr="00CF5473">
        <w:rPr>
          <w:rFonts w:ascii="Century Gothic" w:eastAsia="Century Gothic" w:hAnsi="Century Gothic" w:cs="Century Gothic"/>
          <w:sz w:val="24"/>
          <w:szCs w:val="24"/>
        </w:rPr>
        <w:t xml:space="preserve"> Chile. 2021;149(5</w:t>
      </w:r>
      <w:proofErr w:type="gramStart"/>
      <w:r w:rsidRPr="00CF5473">
        <w:rPr>
          <w:rFonts w:ascii="Century Gothic" w:eastAsia="Century Gothic" w:hAnsi="Century Gothic" w:cs="Century Gothic"/>
          <w:sz w:val="24"/>
          <w:szCs w:val="24"/>
        </w:rPr>
        <w:t>):[</w:t>
      </w:r>
      <w:proofErr w:type="gramEnd"/>
      <w:r w:rsidRPr="00CF5473">
        <w:rPr>
          <w:rFonts w:ascii="Century Gothic" w:eastAsia="Century Gothic" w:hAnsi="Century Gothic" w:cs="Century Gothic"/>
          <w:sz w:val="24"/>
          <w:szCs w:val="24"/>
        </w:rPr>
        <w:t xml:space="preserve">páginas específicas]. Disponible en: </w:t>
      </w:r>
      <w:hyperlink r:id="rId12" w:history="1">
        <w:r w:rsidRPr="00CC7CD5">
          <w:rPr>
            <w:rStyle w:val="Hipervnculo"/>
            <w:rFonts w:ascii="Century Gothic" w:eastAsia="Century Gothic" w:hAnsi="Century Gothic" w:cs="Century Gothic"/>
            <w:sz w:val="24"/>
            <w:szCs w:val="24"/>
          </w:rPr>
          <w:t>http://dx.doi.org/10.4067/s0034-98872021000500682</w:t>
        </w:r>
      </w:hyperlink>
      <w:r>
        <w:rPr>
          <w:rFonts w:ascii="Century Gothic" w:eastAsia="Century Gothic" w:hAnsi="Century Gothic" w:cs="Century Gothic"/>
          <w:sz w:val="24"/>
          <w:szCs w:val="24"/>
        </w:rPr>
        <w:t xml:space="preserve"> </w:t>
      </w:r>
    </w:p>
    <w:p w14:paraId="7464B8B4" w14:textId="77777777" w:rsidR="009C09C7" w:rsidRPr="00C415A8" w:rsidRDefault="000F52BD" w:rsidP="001C6F89">
      <w:pPr>
        <w:numPr>
          <w:ilvl w:val="0"/>
          <w:numId w:val="2"/>
        </w:numPr>
        <w:spacing w:after="240" w:line="360" w:lineRule="auto"/>
        <w:ind w:left="426" w:right="382"/>
        <w:jc w:val="both"/>
        <w:rPr>
          <w:rFonts w:ascii="Century Gothic" w:eastAsia="Century Gothic" w:hAnsi="Century Gothic" w:cs="Century Gothic"/>
          <w:sz w:val="24"/>
          <w:szCs w:val="24"/>
        </w:rPr>
      </w:pPr>
      <w:r w:rsidRPr="00C415A8">
        <w:rPr>
          <w:rFonts w:ascii="Century Gothic" w:eastAsia="Century Gothic" w:hAnsi="Century Gothic" w:cs="Century Gothic"/>
          <w:color w:val="282938"/>
          <w:sz w:val="24"/>
          <w:szCs w:val="24"/>
        </w:rPr>
        <w:t xml:space="preserve">Vargas C. Figueroa V. </w:t>
      </w:r>
      <w:proofErr w:type="spellStart"/>
      <w:r w:rsidRPr="00C415A8">
        <w:rPr>
          <w:rFonts w:ascii="Century Gothic" w:eastAsia="Century Gothic" w:hAnsi="Century Gothic" w:cs="Century Gothic"/>
          <w:color w:val="282938"/>
          <w:sz w:val="24"/>
          <w:szCs w:val="24"/>
        </w:rPr>
        <w:t>Pulcha</w:t>
      </w:r>
      <w:proofErr w:type="spellEnd"/>
      <w:r w:rsidRPr="00C415A8">
        <w:rPr>
          <w:rFonts w:ascii="Century Gothic" w:eastAsia="Century Gothic" w:hAnsi="Century Gothic" w:cs="Century Gothic"/>
          <w:color w:val="282938"/>
          <w:sz w:val="24"/>
          <w:szCs w:val="24"/>
        </w:rPr>
        <w:t xml:space="preserve"> R. Actualización sobre manejo de </w:t>
      </w:r>
      <w:proofErr w:type="spellStart"/>
      <w:r w:rsidRPr="00C415A8">
        <w:rPr>
          <w:rFonts w:ascii="Century Gothic" w:eastAsia="Century Gothic" w:hAnsi="Century Gothic" w:cs="Century Gothic"/>
          <w:color w:val="282938"/>
          <w:sz w:val="24"/>
          <w:szCs w:val="24"/>
        </w:rPr>
        <w:t>araneismo</w:t>
      </w:r>
      <w:proofErr w:type="spellEnd"/>
      <w:r w:rsidRPr="00C415A8">
        <w:rPr>
          <w:rFonts w:ascii="Century Gothic" w:eastAsia="Century Gothic" w:hAnsi="Century Gothic" w:cs="Century Gothic"/>
          <w:color w:val="282938"/>
          <w:sz w:val="24"/>
          <w:szCs w:val="24"/>
        </w:rPr>
        <w:t xml:space="preserve"> en Perú. </w:t>
      </w:r>
      <w:proofErr w:type="spellStart"/>
      <w:r w:rsidRPr="00C415A8">
        <w:rPr>
          <w:rFonts w:ascii="Century Gothic" w:eastAsia="Century Gothic" w:hAnsi="Century Gothic" w:cs="Century Gothic"/>
          <w:color w:val="282938"/>
          <w:sz w:val="24"/>
          <w:szCs w:val="24"/>
        </w:rPr>
        <w:t>Rev</w:t>
      </w:r>
      <w:proofErr w:type="spell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Med</w:t>
      </w:r>
      <w:proofErr w:type="spellEnd"/>
      <w:r w:rsidRPr="00C415A8">
        <w:rPr>
          <w:rFonts w:ascii="Century Gothic" w:eastAsia="Century Gothic" w:hAnsi="Century Gothic" w:cs="Century Gothic"/>
          <w:color w:val="282938"/>
          <w:sz w:val="24"/>
          <w:szCs w:val="24"/>
        </w:rPr>
        <w:t xml:space="preserve"> </w:t>
      </w:r>
      <w:proofErr w:type="spellStart"/>
      <w:r w:rsidRPr="00C415A8">
        <w:rPr>
          <w:rFonts w:ascii="Century Gothic" w:eastAsia="Century Gothic" w:hAnsi="Century Gothic" w:cs="Century Gothic"/>
          <w:color w:val="282938"/>
          <w:sz w:val="24"/>
          <w:szCs w:val="24"/>
        </w:rPr>
        <w:t>Hered</w:t>
      </w:r>
      <w:proofErr w:type="spellEnd"/>
      <w:r w:rsidRPr="00C415A8">
        <w:rPr>
          <w:rFonts w:ascii="Century Gothic" w:eastAsia="Century Gothic" w:hAnsi="Century Gothic" w:cs="Century Gothic"/>
          <w:color w:val="282938"/>
          <w:sz w:val="24"/>
          <w:szCs w:val="24"/>
        </w:rPr>
        <w:t xml:space="preserve">. 2017;28: 200-207. Disponible en: </w:t>
      </w:r>
      <w:hyperlink r:id="rId13">
        <w:r w:rsidRPr="00C415A8">
          <w:rPr>
            <w:rFonts w:ascii="Century Gothic" w:eastAsia="Century Gothic" w:hAnsi="Century Gothic" w:cs="Century Gothic"/>
            <w:color w:val="1155CC"/>
            <w:sz w:val="24"/>
            <w:szCs w:val="24"/>
            <w:u w:val="single"/>
          </w:rPr>
          <w:t>https://www.scielo.org.pe/pdf/rmh/v28n3/a11v28n3.pdf</w:t>
        </w:r>
      </w:hyperlink>
    </w:p>
    <w:p w14:paraId="570ED6D6" w14:textId="77777777" w:rsidR="009C09C7" w:rsidRPr="00C415A8" w:rsidRDefault="009C09C7" w:rsidP="001C6F89">
      <w:pPr>
        <w:ind w:right="382"/>
        <w:jc w:val="both"/>
        <w:rPr>
          <w:rFonts w:ascii="Century Gothic" w:eastAsia="Century Gothic" w:hAnsi="Century Gothic" w:cs="Century Gothic"/>
          <w:sz w:val="24"/>
          <w:szCs w:val="24"/>
        </w:rPr>
      </w:pPr>
    </w:p>
    <w:sectPr w:rsidR="009C09C7" w:rsidRPr="00C415A8">
      <w:headerReference w:type="default" r:id="rId14"/>
      <w:foot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CAFED" w14:textId="77777777" w:rsidR="000F52BD" w:rsidRDefault="000F52BD">
      <w:pPr>
        <w:spacing w:line="240" w:lineRule="auto"/>
      </w:pPr>
      <w:r>
        <w:separator/>
      </w:r>
    </w:p>
  </w:endnote>
  <w:endnote w:type="continuationSeparator" w:id="0">
    <w:p w14:paraId="7F75E939" w14:textId="77777777" w:rsidR="000F52BD" w:rsidRDefault="000F52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6261F" w14:textId="77777777" w:rsidR="009C09C7" w:rsidRDefault="009C09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BAF8" w14:textId="77777777" w:rsidR="000F52BD" w:rsidRDefault="000F52BD">
      <w:pPr>
        <w:spacing w:line="240" w:lineRule="auto"/>
      </w:pPr>
      <w:r>
        <w:separator/>
      </w:r>
    </w:p>
  </w:footnote>
  <w:footnote w:type="continuationSeparator" w:id="0">
    <w:p w14:paraId="188CFB89" w14:textId="77777777" w:rsidR="000F52BD" w:rsidRDefault="000F52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4488" w14:textId="77777777" w:rsidR="009C09C7" w:rsidRDefault="009C09C7">
    <w:pPr>
      <w:spacing w:line="360" w:lineRule="auto"/>
      <w:jc w:val="both"/>
      <w:rPr>
        <w:rFonts w:ascii="Century Gothic" w:eastAsia="Century Gothic" w:hAnsi="Century Gothic" w:cs="Century Gothic"/>
        <w:sz w:val="24"/>
        <w:szCs w:val="24"/>
      </w:rPr>
    </w:pPr>
  </w:p>
  <w:p w14:paraId="0796CE81" w14:textId="77777777" w:rsidR="009C09C7" w:rsidRDefault="009C09C7">
    <w:pPr>
      <w:rPr>
        <w:rFonts w:ascii="Century Gothic" w:eastAsia="Century Gothic" w:hAnsi="Century Gothic" w:cs="Century Gothic"/>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83254"/>
    <w:multiLevelType w:val="multilevel"/>
    <w:tmpl w:val="157C7B4E"/>
    <w:lvl w:ilvl="0">
      <w:start w:val="1"/>
      <w:numFmt w:val="decimal"/>
      <w:lvlText w:val="%1."/>
      <w:lvlJc w:val="left"/>
      <w:pPr>
        <w:ind w:left="1080" w:hanging="360"/>
      </w:pPr>
    </w:lvl>
    <w:lvl w:ilvl="1">
      <w:start w:val="1"/>
      <w:numFmt w:val="decimal"/>
      <w:lvlText w:val="%1.%2."/>
      <w:lvlJc w:val="left"/>
      <w:pPr>
        <w:ind w:left="1440" w:hanging="72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2160" w:hanging="1440"/>
      </w:pPr>
      <w:rPr>
        <w:b/>
      </w:rPr>
    </w:lvl>
    <w:lvl w:ilvl="5">
      <w:start w:val="1"/>
      <w:numFmt w:val="decimal"/>
      <w:lvlText w:val="%1.%2.%3.%4.%5.%6."/>
      <w:lvlJc w:val="left"/>
      <w:pPr>
        <w:ind w:left="2160" w:hanging="1440"/>
      </w:pPr>
      <w:rPr>
        <w:b/>
      </w:rPr>
    </w:lvl>
    <w:lvl w:ilvl="6">
      <w:start w:val="1"/>
      <w:numFmt w:val="decimal"/>
      <w:lvlText w:val="%1.%2.%3.%4.%5.%6.%7."/>
      <w:lvlJc w:val="left"/>
      <w:pPr>
        <w:ind w:left="2520" w:hanging="1800"/>
      </w:pPr>
      <w:rPr>
        <w:b/>
      </w:rPr>
    </w:lvl>
    <w:lvl w:ilvl="7">
      <w:start w:val="1"/>
      <w:numFmt w:val="decimal"/>
      <w:lvlText w:val="%1.%2.%3.%4.%5.%6.%7.%8."/>
      <w:lvlJc w:val="left"/>
      <w:pPr>
        <w:ind w:left="2880" w:hanging="2160"/>
      </w:pPr>
      <w:rPr>
        <w:b/>
      </w:rPr>
    </w:lvl>
    <w:lvl w:ilvl="8">
      <w:start w:val="1"/>
      <w:numFmt w:val="decimal"/>
      <w:lvlText w:val="%1.%2.%3.%4.%5.%6.%7.%8.%9."/>
      <w:lvlJc w:val="left"/>
      <w:pPr>
        <w:ind w:left="2880" w:hanging="2160"/>
      </w:pPr>
      <w:rPr>
        <w:b/>
      </w:rPr>
    </w:lvl>
  </w:abstractNum>
  <w:abstractNum w:abstractNumId="1" w15:restartNumberingAfterBreak="0">
    <w:nsid w:val="730C5946"/>
    <w:multiLevelType w:val="multilevel"/>
    <w:tmpl w:val="1EC24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9C7"/>
    <w:rsid w:val="00045B81"/>
    <w:rsid w:val="000E04DF"/>
    <w:rsid w:val="000F52BD"/>
    <w:rsid w:val="001C6F89"/>
    <w:rsid w:val="00630E30"/>
    <w:rsid w:val="006853C8"/>
    <w:rsid w:val="008D3C8D"/>
    <w:rsid w:val="0092369A"/>
    <w:rsid w:val="009A1568"/>
    <w:rsid w:val="009C09C7"/>
    <w:rsid w:val="00B36639"/>
    <w:rsid w:val="00C415A8"/>
    <w:rsid w:val="00CF547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0559D"/>
  <w15:docId w15:val="{24419402-6AB0-4CDF-B3AB-ED888911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s-P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character" w:styleId="Hipervnculo">
    <w:name w:val="Hyperlink"/>
    <w:basedOn w:val="Fuentedeprrafopredeter"/>
    <w:uiPriority w:val="99"/>
    <w:unhideWhenUsed/>
    <w:rsid w:val="0092369A"/>
    <w:rPr>
      <w:color w:val="0000FF" w:themeColor="hyperlink"/>
      <w:u w:val="single"/>
    </w:rPr>
  </w:style>
  <w:style w:type="character" w:styleId="Mencinsinresolver">
    <w:name w:val="Unresolved Mention"/>
    <w:basedOn w:val="Fuentedeprrafopredeter"/>
    <w:uiPriority w:val="99"/>
    <w:semiHidden/>
    <w:unhideWhenUsed/>
    <w:rsid w:val="0092369A"/>
    <w:rPr>
      <w:color w:val="605E5C"/>
      <w:shd w:val="clear" w:color="auto" w:fill="E1DFDD"/>
    </w:rPr>
  </w:style>
  <w:style w:type="paragraph" w:styleId="Sinespaciado">
    <w:name w:val="No Spacing"/>
    <w:uiPriority w:val="1"/>
    <w:qFormat/>
    <w:rsid w:val="00C415A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2143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1-8076-4080" TargetMode="External"/><Relationship Id="rId13" Type="http://schemas.openxmlformats.org/officeDocument/2006/relationships/hyperlink" Target="https://www.scielo.org.pe/pdf/rmh/v28n3/a11v28n3.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4067/s0034-988720210005006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366/11292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pd7trq4qJwD5Hmw0hQ7qDs5Dlw==">CgMxLjAyCGguZ2pkZ3hzMgloLjMwajB6bGwyCWguMWZvYjl0ZTIJaC4zem55c2g3OAByITFRT0VONldJd1NmZDgtbFpfRGo0TExNbkRzQUVRMjRSUg==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2634</Words>
  <Characters>14488</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UNSAAC</cp:lastModifiedBy>
  <cp:revision>13</cp:revision>
  <dcterms:created xsi:type="dcterms:W3CDTF">2024-12-19T04:53:00Z</dcterms:created>
  <dcterms:modified xsi:type="dcterms:W3CDTF">2025-01-10T14:04:00Z</dcterms:modified>
</cp:coreProperties>
</file>